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86C" w:rsidRDefault="00A473E5">
      <w:pPr>
        <w:pStyle w:val="NormalnyWeb"/>
        <w:spacing w:beforeAutospacing="0" w:after="0" w:line="240" w:lineRule="auto"/>
        <w:jc w:val="right"/>
        <w:rPr>
          <w:b/>
          <w:bCs/>
          <w:color w:val="000000"/>
          <w:sz w:val="28"/>
          <w:szCs w:val="28"/>
        </w:rPr>
      </w:pPr>
      <w:r>
        <w:rPr>
          <w:b/>
          <w:bCs/>
          <w:color w:val="000000"/>
          <w:sz w:val="28"/>
          <w:szCs w:val="28"/>
        </w:rPr>
        <w:t>Załącznik nr 2 do SIWZ</w:t>
      </w:r>
    </w:p>
    <w:p w:rsidR="0098786C" w:rsidRDefault="00A473E5">
      <w:pPr>
        <w:pStyle w:val="NormalnyWeb"/>
        <w:spacing w:beforeAutospacing="0" w:after="0" w:line="240" w:lineRule="auto"/>
        <w:jc w:val="right"/>
        <w:rPr>
          <w:b/>
          <w:bCs/>
          <w:color w:val="000000"/>
          <w:sz w:val="28"/>
          <w:szCs w:val="28"/>
        </w:rPr>
      </w:pPr>
      <w:r>
        <w:rPr>
          <w:b/>
          <w:bCs/>
          <w:color w:val="000000"/>
          <w:sz w:val="28"/>
          <w:szCs w:val="28"/>
        </w:rPr>
        <w:t>SP ZOZ/DZ/15/2020</w:t>
      </w:r>
    </w:p>
    <w:p w:rsidR="0098786C" w:rsidRDefault="0098786C">
      <w:pPr>
        <w:spacing w:after="0" w:line="240" w:lineRule="auto"/>
        <w:jc w:val="center"/>
        <w:rPr>
          <w:rFonts w:ascii="Times New Roman" w:hAnsi="Times New Roman" w:cs="Times New Roman"/>
          <w:b/>
          <w:sz w:val="28"/>
          <w:szCs w:val="28"/>
        </w:rPr>
      </w:pPr>
    </w:p>
    <w:p w:rsidR="0098786C" w:rsidRDefault="00A473E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FORMULARZ CENOWY </w:t>
      </w:r>
    </w:p>
    <w:p w:rsidR="0098786C" w:rsidRDefault="00A473E5">
      <w:pPr>
        <w:pStyle w:val="NormalnyWeb"/>
        <w:spacing w:beforeAutospacing="0" w:after="0" w:line="240" w:lineRule="auto"/>
        <w:jc w:val="center"/>
        <w:rPr>
          <w:b/>
          <w:bCs/>
          <w:color w:val="000000"/>
          <w:sz w:val="28"/>
          <w:szCs w:val="28"/>
        </w:rPr>
      </w:pPr>
      <w:r>
        <w:rPr>
          <w:b/>
          <w:bCs/>
          <w:color w:val="000000"/>
          <w:sz w:val="28"/>
          <w:szCs w:val="28"/>
        </w:rPr>
        <w:t>Część Nr 1</w:t>
      </w:r>
    </w:p>
    <w:tbl>
      <w:tblPr>
        <w:tblpPr w:leftFromText="141" w:rightFromText="141" w:vertAnchor="text" w:horzAnchor="margin" w:tblpXSpec="center" w:tblpY="325"/>
        <w:tblW w:w="162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tblPr>
      <w:tblGrid>
        <w:gridCol w:w="670"/>
        <w:gridCol w:w="426"/>
        <w:gridCol w:w="1463"/>
        <w:gridCol w:w="956"/>
        <w:gridCol w:w="1550"/>
        <w:gridCol w:w="1275"/>
        <w:gridCol w:w="1418"/>
        <w:gridCol w:w="1288"/>
        <w:gridCol w:w="696"/>
        <w:gridCol w:w="649"/>
        <w:gridCol w:w="485"/>
        <w:gridCol w:w="2129"/>
        <w:gridCol w:w="1289"/>
        <w:gridCol w:w="975"/>
        <w:gridCol w:w="963"/>
      </w:tblGrid>
      <w:tr w:rsidR="0098786C" w:rsidTr="001F13DD">
        <w:tc>
          <w:tcPr>
            <w:tcW w:w="16232" w:type="dxa"/>
            <w:gridSpan w:val="1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rPr>
            </w:pPr>
          </w:p>
          <w:p w:rsidR="0098786C" w:rsidRDefault="00A473E5">
            <w:pPr>
              <w:spacing w:after="0" w:line="240" w:lineRule="auto"/>
              <w:jc w:val="center"/>
              <w:rPr>
                <w:rFonts w:ascii="Times New Roman" w:hAnsi="Times New Roman" w:cs="Times New Roman"/>
                <w:b/>
              </w:rPr>
            </w:pPr>
            <w:r>
              <w:rPr>
                <w:rFonts w:ascii="Times New Roman" w:hAnsi="Times New Roman" w:cs="Times New Roman"/>
                <w:b/>
              </w:rPr>
              <w:t>Odczynniki i materiały zużywalne do badań</w:t>
            </w:r>
          </w:p>
          <w:p w:rsidR="0098786C" w:rsidRDefault="0098786C">
            <w:pPr>
              <w:spacing w:after="0" w:line="240" w:lineRule="auto"/>
              <w:jc w:val="center"/>
              <w:rPr>
                <w:rFonts w:ascii="Times New Roman" w:hAnsi="Times New Roman" w:cs="Times New Roman"/>
                <w:b/>
              </w:rPr>
            </w:pPr>
          </w:p>
        </w:tc>
      </w:tr>
      <w:tr w:rsidR="0098786C" w:rsidTr="001F13DD">
        <w:trPr>
          <w:trHeight w:val="2445"/>
        </w:trPr>
        <w:tc>
          <w:tcPr>
            <w:tcW w:w="6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Pr="001F13DD" w:rsidRDefault="00A473E5">
            <w:pPr>
              <w:spacing w:after="0" w:line="240" w:lineRule="auto"/>
              <w:jc w:val="center"/>
              <w:rPr>
                <w:rFonts w:ascii="Times New Roman" w:hAnsi="Times New Roman" w:cs="Times New Roman"/>
                <w:b/>
                <w:sz w:val="16"/>
                <w:szCs w:val="16"/>
              </w:rPr>
            </w:pPr>
            <w:r w:rsidRPr="001F13DD">
              <w:rPr>
                <w:rFonts w:ascii="Times New Roman" w:hAnsi="Times New Roman" w:cs="Times New Roman"/>
                <w:b/>
                <w:sz w:val="16"/>
                <w:szCs w:val="16"/>
              </w:rPr>
              <w:t>l.p.</w:t>
            </w:r>
          </w:p>
        </w:tc>
        <w:tc>
          <w:tcPr>
            <w:tcW w:w="188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Pr="001F13DD" w:rsidRDefault="00A473E5">
            <w:pPr>
              <w:spacing w:after="0" w:line="240" w:lineRule="auto"/>
              <w:jc w:val="center"/>
              <w:rPr>
                <w:rFonts w:ascii="Times New Roman" w:hAnsi="Times New Roman" w:cs="Times New Roman"/>
                <w:b/>
                <w:sz w:val="16"/>
                <w:szCs w:val="16"/>
              </w:rPr>
            </w:pPr>
            <w:r w:rsidRPr="001F13DD">
              <w:rPr>
                <w:rFonts w:ascii="Times New Roman" w:hAnsi="Times New Roman" w:cs="Times New Roman"/>
                <w:b/>
                <w:sz w:val="16"/>
                <w:szCs w:val="16"/>
              </w:rPr>
              <w:t>Nazwa odczynnika</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Pr="001F13DD" w:rsidRDefault="00A473E5">
            <w:pPr>
              <w:spacing w:after="0" w:line="240" w:lineRule="auto"/>
              <w:jc w:val="center"/>
              <w:rPr>
                <w:rFonts w:ascii="Times New Roman" w:hAnsi="Times New Roman" w:cs="Times New Roman"/>
                <w:b/>
                <w:sz w:val="16"/>
                <w:szCs w:val="16"/>
              </w:rPr>
            </w:pPr>
            <w:r w:rsidRPr="001F13DD">
              <w:rPr>
                <w:rFonts w:ascii="Times New Roman" w:hAnsi="Times New Roman" w:cs="Times New Roman"/>
                <w:b/>
                <w:sz w:val="16"/>
                <w:szCs w:val="16"/>
              </w:rPr>
              <w:t>Ilość badań</w:t>
            </w:r>
          </w:p>
          <w:p w:rsidR="0098786C" w:rsidRPr="001F13DD" w:rsidRDefault="00A473E5">
            <w:pPr>
              <w:spacing w:after="0" w:line="240" w:lineRule="auto"/>
              <w:jc w:val="center"/>
              <w:rPr>
                <w:rFonts w:ascii="Times New Roman" w:hAnsi="Times New Roman" w:cs="Times New Roman"/>
                <w:b/>
                <w:sz w:val="16"/>
                <w:szCs w:val="16"/>
              </w:rPr>
            </w:pPr>
            <w:r w:rsidRPr="001F13DD">
              <w:rPr>
                <w:rFonts w:ascii="Times New Roman" w:hAnsi="Times New Roman" w:cs="Times New Roman"/>
                <w:b/>
                <w:sz w:val="16"/>
                <w:szCs w:val="16"/>
              </w:rPr>
              <w:t>/34 miesiące</w:t>
            </w: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Pr="001F13DD" w:rsidRDefault="00A473E5">
            <w:pPr>
              <w:spacing w:after="0" w:line="240" w:lineRule="auto"/>
              <w:jc w:val="center"/>
              <w:rPr>
                <w:rFonts w:ascii="Times New Roman" w:hAnsi="Times New Roman" w:cs="Times New Roman"/>
                <w:b/>
                <w:sz w:val="16"/>
                <w:szCs w:val="16"/>
              </w:rPr>
            </w:pPr>
            <w:r w:rsidRPr="001F13DD">
              <w:rPr>
                <w:rFonts w:ascii="Times New Roman" w:hAnsi="Times New Roman" w:cs="Times New Roman"/>
                <w:b/>
                <w:sz w:val="16"/>
                <w:szCs w:val="16"/>
              </w:rPr>
              <w:t>Producent  oraz numer katalogowy</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Pr="001F13DD" w:rsidRDefault="00A473E5">
            <w:pPr>
              <w:spacing w:after="0" w:line="240" w:lineRule="auto"/>
              <w:jc w:val="center"/>
              <w:rPr>
                <w:rFonts w:ascii="Times New Roman" w:hAnsi="Times New Roman" w:cs="Times New Roman"/>
                <w:b/>
                <w:sz w:val="16"/>
                <w:szCs w:val="16"/>
              </w:rPr>
            </w:pPr>
            <w:r w:rsidRPr="001F13DD">
              <w:rPr>
                <w:rFonts w:ascii="Times New Roman" w:hAnsi="Times New Roman" w:cs="Times New Roman"/>
                <w:b/>
                <w:sz w:val="16"/>
                <w:szCs w:val="16"/>
              </w:rPr>
              <w:t>Wielkość opakowania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Pr="001F13DD" w:rsidRDefault="00A473E5">
            <w:pPr>
              <w:spacing w:after="0" w:line="240" w:lineRule="auto"/>
              <w:jc w:val="center"/>
              <w:rPr>
                <w:rFonts w:ascii="Times New Roman" w:hAnsi="Times New Roman" w:cs="Times New Roman"/>
                <w:b/>
                <w:sz w:val="16"/>
                <w:szCs w:val="16"/>
              </w:rPr>
            </w:pPr>
            <w:r w:rsidRPr="001F13DD">
              <w:rPr>
                <w:rFonts w:ascii="Times New Roman" w:hAnsi="Times New Roman" w:cs="Times New Roman"/>
                <w:b/>
                <w:sz w:val="16"/>
                <w:szCs w:val="16"/>
              </w:rPr>
              <w:t>Ilość testów w jednym opakowaniu</w:t>
            </w:r>
          </w:p>
        </w:tc>
        <w:tc>
          <w:tcPr>
            <w:tcW w:w="198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Pr="001F13DD" w:rsidRDefault="00A473E5">
            <w:pPr>
              <w:spacing w:after="0" w:line="240" w:lineRule="auto"/>
              <w:jc w:val="center"/>
              <w:rPr>
                <w:rFonts w:ascii="Times New Roman" w:hAnsi="Times New Roman" w:cs="Times New Roman"/>
                <w:b/>
                <w:sz w:val="16"/>
                <w:szCs w:val="16"/>
              </w:rPr>
            </w:pPr>
            <w:r w:rsidRPr="001F13DD">
              <w:rPr>
                <w:rFonts w:ascii="Times New Roman" w:hAnsi="Times New Roman" w:cs="Times New Roman"/>
                <w:b/>
                <w:sz w:val="16"/>
                <w:szCs w:val="16"/>
              </w:rPr>
              <w:t>Ilość testów na kalibrację i kontrolę wewnętrzną zgodnie z procedurą zawartą w metodyce oznaczeń/34 miesiące</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Pr="001F13DD" w:rsidRDefault="00A473E5">
            <w:pPr>
              <w:spacing w:after="0" w:line="240" w:lineRule="auto"/>
              <w:jc w:val="center"/>
              <w:rPr>
                <w:rFonts w:hint="eastAsia"/>
                <w:sz w:val="16"/>
                <w:szCs w:val="16"/>
              </w:rPr>
            </w:pPr>
            <w:r w:rsidRPr="001F13DD">
              <w:rPr>
                <w:rFonts w:ascii="Times New Roman" w:hAnsi="Times New Roman" w:cs="Times New Roman"/>
                <w:b/>
                <w:sz w:val="16"/>
                <w:szCs w:val="16"/>
              </w:rPr>
              <w:t>Ilość opakowań/34 m-ce</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Pr="001F13DD" w:rsidRDefault="00A473E5" w:rsidP="001F13DD">
            <w:pPr>
              <w:spacing w:after="0" w:line="240" w:lineRule="auto"/>
              <w:jc w:val="center"/>
              <w:rPr>
                <w:rFonts w:hint="eastAsia"/>
                <w:b/>
                <w:sz w:val="16"/>
                <w:szCs w:val="16"/>
              </w:rPr>
            </w:pPr>
            <w:r w:rsidRPr="001F13DD">
              <w:rPr>
                <w:rFonts w:ascii="Times New Roman" w:hAnsi="Times New Roman" w:cs="Times New Roman"/>
                <w:b/>
                <w:sz w:val="16"/>
                <w:szCs w:val="16"/>
              </w:rPr>
              <w:t>Ilość pełnych opakowań                                     z uwzględnieniem ilości                                                 i</w:t>
            </w:r>
            <w:r w:rsidR="00D41E95" w:rsidRPr="001F13DD">
              <w:rPr>
                <w:rFonts w:ascii="Times New Roman" w:hAnsi="Times New Roman" w:cs="Times New Roman"/>
                <w:b/>
                <w:sz w:val="16"/>
                <w:szCs w:val="16"/>
              </w:rPr>
              <w:t xml:space="preserve"> </w:t>
            </w:r>
            <w:r w:rsidRPr="001F13DD">
              <w:rPr>
                <w:rFonts w:ascii="Times New Roman" w:hAnsi="Times New Roman" w:cs="Times New Roman"/>
                <w:b/>
                <w:sz w:val="16"/>
                <w:szCs w:val="16"/>
              </w:rPr>
              <w:t>testów potrzebnych                                                  na kalibrację i kontrolę                       wewnętrzna i zewnętrzną                                               oraz powtórzeń (2% dla                           każdego testu)                                               oraz trwałości odczynnika                                po</w:t>
            </w:r>
            <w:r w:rsidR="00D41E95" w:rsidRPr="001F13DD">
              <w:rPr>
                <w:rFonts w:ascii="Times New Roman" w:hAnsi="Times New Roman" w:cs="Times New Roman"/>
                <w:b/>
                <w:sz w:val="16"/>
                <w:szCs w:val="16"/>
              </w:rPr>
              <w:t xml:space="preserve"> </w:t>
            </w:r>
            <w:r w:rsidRPr="001F13DD">
              <w:rPr>
                <w:rFonts w:ascii="Times New Roman" w:hAnsi="Times New Roman" w:cs="Times New Roman"/>
                <w:b/>
                <w:sz w:val="16"/>
                <w:szCs w:val="16"/>
              </w:rPr>
              <w:t>otwarciu                                                     na pokładzie analizatora/                               34 m-ce</w:t>
            </w: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Pr="001F13DD" w:rsidRDefault="00A473E5">
            <w:pPr>
              <w:spacing w:after="0" w:line="240" w:lineRule="auto"/>
              <w:jc w:val="center"/>
              <w:rPr>
                <w:rFonts w:ascii="Times New Roman" w:hAnsi="Times New Roman" w:cs="Times New Roman"/>
                <w:b/>
                <w:sz w:val="16"/>
                <w:szCs w:val="16"/>
              </w:rPr>
            </w:pPr>
            <w:r w:rsidRPr="001F13DD">
              <w:rPr>
                <w:rFonts w:ascii="Times New Roman" w:hAnsi="Times New Roman" w:cs="Times New Roman"/>
                <w:b/>
                <w:sz w:val="16"/>
                <w:szCs w:val="16"/>
              </w:rPr>
              <w:t>Cena jednostkowa netto/</w:t>
            </w:r>
          </w:p>
          <w:p w:rsidR="0098786C" w:rsidRPr="001F13DD" w:rsidRDefault="00A473E5">
            <w:pPr>
              <w:spacing w:after="0" w:line="240" w:lineRule="auto"/>
              <w:jc w:val="center"/>
              <w:rPr>
                <w:rFonts w:ascii="Times New Roman" w:hAnsi="Times New Roman" w:cs="Times New Roman"/>
                <w:b/>
                <w:sz w:val="16"/>
                <w:szCs w:val="16"/>
              </w:rPr>
            </w:pPr>
            <w:r w:rsidRPr="001F13DD">
              <w:rPr>
                <w:rFonts w:ascii="Times New Roman" w:hAnsi="Times New Roman" w:cs="Times New Roman"/>
                <w:b/>
                <w:sz w:val="16"/>
                <w:szCs w:val="16"/>
              </w:rPr>
              <w:t>1 opakowanie</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Pr="001F13DD" w:rsidRDefault="00A473E5">
            <w:pPr>
              <w:spacing w:after="0" w:line="240" w:lineRule="auto"/>
              <w:jc w:val="center"/>
              <w:rPr>
                <w:rFonts w:ascii="Times New Roman" w:hAnsi="Times New Roman" w:cs="Times New Roman"/>
                <w:b/>
                <w:sz w:val="16"/>
                <w:szCs w:val="16"/>
              </w:rPr>
            </w:pPr>
            <w:r w:rsidRPr="001F13DD">
              <w:rPr>
                <w:rFonts w:ascii="Times New Roman" w:hAnsi="Times New Roman" w:cs="Times New Roman"/>
                <w:b/>
                <w:sz w:val="16"/>
                <w:szCs w:val="16"/>
              </w:rPr>
              <w:t>Łączna wartość netto</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Pr="001F13DD" w:rsidRDefault="00A473E5">
            <w:pPr>
              <w:spacing w:after="0" w:line="240" w:lineRule="auto"/>
              <w:jc w:val="center"/>
              <w:rPr>
                <w:rFonts w:hint="eastAsia"/>
                <w:sz w:val="16"/>
                <w:szCs w:val="16"/>
              </w:rPr>
            </w:pPr>
            <w:r w:rsidRPr="001F13DD">
              <w:rPr>
                <w:rFonts w:ascii="Times New Roman" w:hAnsi="Times New Roman" w:cs="Times New Roman"/>
                <w:b/>
                <w:sz w:val="16"/>
                <w:szCs w:val="16"/>
              </w:rPr>
              <w:t>Łączna wartość brutto</w:t>
            </w:r>
          </w:p>
        </w:tc>
      </w:tr>
      <w:tr w:rsidR="0098786C" w:rsidTr="001F13DD">
        <w:trPr>
          <w:trHeight w:val="1312"/>
        </w:trPr>
        <w:tc>
          <w:tcPr>
            <w:tcW w:w="6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A473E5" w:rsidP="001F13DD">
            <w:pPr>
              <w:tabs>
                <w:tab w:val="left" w:pos="536"/>
              </w:tabs>
              <w:jc w:val="center"/>
              <w:rPr>
                <w:rFonts w:ascii="Times New Roman" w:hAnsi="Times New Roman" w:cs="Times New Roman"/>
                <w:sz w:val="20"/>
                <w:szCs w:val="20"/>
              </w:rPr>
            </w:pPr>
            <w:r>
              <w:rPr>
                <w:rFonts w:ascii="Times New Roman" w:hAnsi="Times New Roman" w:cs="Times New Roman"/>
                <w:sz w:val="20"/>
                <w:szCs w:val="20"/>
              </w:rPr>
              <w:t>1</w:t>
            </w:r>
          </w:p>
        </w:tc>
        <w:tc>
          <w:tcPr>
            <w:tcW w:w="188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A473E5">
            <w:pPr>
              <w:spacing w:after="0" w:line="240" w:lineRule="auto"/>
              <w:jc w:val="center"/>
              <w:rPr>
                <w:rFonts w:ascii="Times New Roman" w:hAnsi="Times New Roman" w:cs="Times New Roman"/>
                <w:b/>
                <w:sz w:val="20"/>
                <w:szCs w:val="20"/>
              </w:rPr>
            </w:pPr>
            <w:r>
              <w:rPr>
                <w:rFonts w:ascii="Times New Roman" w:hAnsi="Times New Roman" w:cs="Times New Roman"/>
                <w:color w:val="000000"/>
                <w:sz w:val="20"/>
                <w:szCs w:val="20"/>
              </w:rPr>
              <w:t xml:space="preserve">Wskaźnik </w:t>
            </w:r>
            <w:proofErr w:type="spellStart"/>
            <w:r>
              <w:rPr>
                <w:rFonts w:ascii="Times New Roman" w:hAnsi="Times New Roman" w:cs="Times New Roman"/>
                <w:color w:val="000000"/>
                <w:sz w:val="20"/>
                <w:szCs w:val="20"/>
              </w:rPr>
              <w:t>protrombinowy</w:t>
            </w:r>
            <w:proofErr w:type="spellEnd"/>
            <w:r>
              <w:rPr>
                <w:rFonts w:ascii="Times New Roman" w:hAnsi="Times New Roman" w:cs="Times New Roman"/>
                <w:color w:val="000000"/>
                <w:sz w:val="20"/>
                <w:szCs w:val="20"/>
              </w:rPr>
              <w:t xml:space="preserve"> PT</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A473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30 400</w:t>
            </w: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20"/>
                <w:szCs w:val="20"/>
              </w:rPr>
            </w:pPr>
          </w:p>
        </w:tc>
        <w:tc>
          <w:tcPr>
            <w:tcW w:w="198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20"/>
                <w:szCs w:val="20"/>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20"/>
                <w:szCs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color w:val="FF0000"/>
                <w:sz w:val="20"/>
                <w:szCs w:val="20"/>
              </w:rPr>
            </w:pP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20"/>
                <w:szCs w:val="20"/>
              </w:rPr>
            </w:pP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20"/>
                <w:szCs w:val="20"/>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20"/>
                <w:szCs w:val="20"/>
              </w:rPr>
            </w:pPr>
          </w:p>
        </w:tc>
      </w:tr>
      <w:tr w:rsidR="0098786C" w:rsidTr="001F13DD">
        <w:trPr>
          <w:trHeight w:val="1312"/>
        </w:trPr>
        <w:tc>
          <w:tcPr>
            <w:tcW w:w="6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A473E5" w:rsidP="001F13DD">
            <w:pPr>
              <w:pStyle w:val="Akapitzlist"/>
              <w:spacing w:after="0" w:line="240" w:lineRule="auto"/>
              <w:ind w:left="284"/>
              <w:rPr>
                <w:rFonts w:ascii="Times New Roman" w:hAnsi="Times New Roman" w:cs="Times New Roman"/>
                <w:sz w:val="20"/>
                <w:szCs w:val="20"/>
              </w:rPr>
            </w:pPr>
            <w:r>
              <w:rPr>
                <w:rFonts w:ascii="Times New Roman" w:hAnsi="Times New Roman" w:cs="Times New Roman"/>
                <w:sz w:val="20"/>
                <w:szCs w:val="20"/>
              </w:rPr>
              <w:t>2</w:t>
            </w:r>
          </w:p>
        </w:tc>
        <w:tc>
          <w:tcPr>
            <w:tcW w:w="188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A473E5">
            <w:pPr>
              <w:pStyle w:val="Standard"/>
              <w:jc w:val="center"/>
              <w:rPr>
                <w:rFonts w:cs="Times New Roman"/>
                <w:color w:val="000000"/>
                <w:sz w:val="20"/>
                <w:szCs w:val="20"/>
              </w:rPr>
            </w:pPr>
            <w:r>
              <w:rPr>
                <w:rFonts w:cs="Times New Roman"/>
                <w:color w:val="000000"/>
                <w:sz w:val="20"/>
                <w:szCs w:val="20"/>
              </w:rPr>
              <w:t>APTT</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A473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15 100</w:t>
            </w: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20"/>
                <w:szCs w:val="20"/>
              </w:rPr>
            </w:pPr>
          </w:p>
        </w:tc>
        <w:tc>
          <w:tcPr>
            <w:tcW w:w="198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20"/>
                <w:szCs w:val="20"/>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20"/>
                <w:szCs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color w:val="FF0000"/>
                <w:sz w:val="20"/>
                <w:szCs w:val="20"/>
              </w:rPr>
            </w:pP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20"/>
                <w:szCs w:val="20"/>
              </w:rPr>
            </w:pP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20"/>
                <w:szCs w:val="20"/>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20"/>
                <w:szCs w:val="20"/>
              </w:rPr>
            </w:pPr>
          </w:p>
        </w:tc>
      </w:tr>
      <w:tr w:rsidR="001F13DD" w:rsidTr="001F13DD">
        <w:trPr>
          <w:trHeight w:val="1312"/>
        </w:trPr>
        <w:tc>
          <w:tcPr>
            <w:tcW w:w="6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Pr="001F13DD" w:rsidRDefault="001F13DD" w:rsidP="001F13DD">
            <w:pPr>
              <w:tabs>
                <w:tab w:val="left" w:pos="142"/>
                <w:tab w:val="left" w:pos="284"/>
                <w:tab w:val="left" w:pos="1390"/>
              </w:tabs>
              <w:spacing w:after="0" w:line="240" w:lineRule="auto"/>
              <w:ind w:right="129"/>
              <w:rPr>
                <w:rFonts w:ascii="Times New Roman" w:hAnsi="Times New Roman" w:cs="Times New Roman"/>
                <w:sz w:val="20"/>
                <w:szCs w:val="20"/>
              </w:rPr>
            </w:pPr>
            <w:r>
              <w:rPr>
                <w:rFonts w:ascii="Times New Roman" w:hAnsi="Times New Roman" w:cs="Times New Roman"/>
                <w:sz w:val="20"/>
                <w:szCs w:val="20"/>
              </w:rPr>
              <w:lastRenderedPageBreak/>
              <w:t xml:space="preserve">    </w:t>
            </w:r>
            <w:r w:rsidR="00A473E5" w:rsidRPr="001F13DD">
              <w:rPr>
                <w:rFonts w:ascii="Times New Roman" w:hAnsi="Times New Roman" w:cs="Times New Roman"/>
                <w:sz w:val="20"/>
                <w:szCs w:val="20"/>
              </w:rPr>
              <w:t>3</w:t>
            </w:r>
          </w:p>
        </w:tc>
        <w:tc>
          <w:tcPr>
            <w:tcW w:w="188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A473E5">
            <w:pPr>
              <w:pStyle w:val="Standard"/>
              <w:jc w:val="center"/>
              <w:rPr>
                <w:rFonts w:cs="Times New Roman"/>
                <w:color w:val="000000"/>
                <w:sz w:val="20"/>
                <w:szCs w:val="20"/>
              </w:rPr>
            </w:pPr>
            <w:r>
              <w:rPr>
                <w:rFonts w:cs="Times New Roman"/>
                <w:color w:val="000000"/>
                <w:sz w:val="20"/>
                <w:szCs w:val="20"/>
              </w:rPr>
              <w:t>Fibrynogen metodą Clausa</w:t>
            </w: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A473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1 000</w:t>
            </w: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20"/>
                <w:szCs w:val="2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20"/>
                <w:szCs w:val="20"/>
              </w:rPr>
            </w:pPr>
          </w:p>
        </w:tc>
        <w:tc>
          <w:tcPr>
            <w:tcW w:w="198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20"/>
                <w:szCs w:val="20"/>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20"/>
                <w:szCs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color w:val="FF0000"/>
                <w:sz w:val="20"/>
                <w:szCs w:val="20"/>
              </w:rPr>
            </w:pP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20"/>
                <w:szCs w:val="20"/>
              </w:rPr>
            </w:pP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20"/>
                <w:szCs w:val="20"/>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20"/>
                <w:szCs w:val="20"/>
              </w:rPr>
            </w:pPr>
          </w:p>
        </w:tc>
      </w:tr>
      <w:tr w:rsidR="0098786C" w:rsidTr="001F13DD">
        <w:trPr>
          <w:trHeight w:val="419"/>
        </w:trPr>
        <w:tc>
          <w:tcPr>
            <w:tcW w:w="16232" w:type="dxa"/>
            <w:gridSpan w:val="1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rPr>
                <w:rFonts w:ascii="Times New Roman" w:hAnsi="Times New Roman" w:cs="Times New Roman"/>
                <w:b/>
                <w:sz w:val="20"/>
                <w:szCs w:val="20"/>
              </w:rPr>
            </w:pPr>
          </w:p>
          <w:p w:rsidR="0098786C" w:rsidRDefault="00A473E5">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MATERIAŁY KONTROLNE</w:t>
            </w:r>
          </w:p>
          <w:p w:rsidR="0098786C" w:rsidRDefault="0098786C">
            <w:pPr>
              <w:spacing w:after="0" w:line="240" w:lineRule="auto"/>
              <w:jc w:val="center"/>
              <w:rPr>
                <w:rFonts w:ascii="Times New Roman" w:hAnsi="Times New Roman" w:cs="Times New Roman"/>
                <w:b/>
                <w:sz w:val="16"/>
                <w:szCs w:val="16"/>
              </w:rPr>
            </w:pPr>
          </w:p>
        </w:tc>
      </w:tr>
      <w:tr w:rsidR="0098786C" w:rsidTr="001F13DD">
        <w:trPr>
          <w:trHeight w:val="443"/>
        </w:trPr>
        <w:tc>
          <w:tcPr>
            <w:tcW w:w="1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ind w:left="426"/>
              <w:jc w:val="center"/>
              <w:rPr>
                <w:rFonts w:ascii="Times New Roman" w:hAnsi="Times New Roman" w:cs="Times New Roman"/>
                <w:sz w:val="16"/>
                <w:szCs w:val="16"/>
              </w:rPr>
            </w:pP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pStyle w:val="Standard"/>
              <w:jc w:val="center"/>
              <w:rPr>
                <w:rFonts w:cs="Times New Roman"/>
                <w:color w:val="000000"/>
                <w:sz w:val="20"/>
                <w:szCs w:val="20"/>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sz w:val="16"/>
                <w:szCs w:val="16"/>
              </w:rPr>
            </w:pP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1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134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261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color w:val="FF0000"/>
                <w:sz w:val="16"/>
                <w:szCs w:val="16"/>
              </w:rPr>
            </w:pP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r>
      <w:tr w:rsidR="0098786C" w:rsidTr="001F13DD">
        <w:trPr>
          <w:trHeight w:val="407"/>
        </w:trPr>
        <w:tc>
          <w:tcPr>
            <w:tcW w:w="1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ind w:left="426"/>
              <w:jc w:val="center"/>
              <w:rPr>
                <w:rFonts w:ascii="Times New Roman" w:hAnsi="Times New Roman" w:cs="Times New Roman"/>
                <w:sz w:val="16"/>
                <w:szCs w:val="16"/>
              </w:rPr>
            </w:pP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pStyle w:val="Standard"/>
              <w:jc w:val="center"/>
              <w:rPr>
                <w:rFonts w:cs="Times New Roman"/>
                <w:color w:val="000000"/>
                <w:sz w:val="20"/>
                <w:szCs w:val="20"/>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sz w:val="16"/>
                <w:szCs w:val="16"/>
              </w:rPr>
            </w:pP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1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134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261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color w:val="FF0000"/>
                <w:sz w:val="16"/>
                <w:szCs w:val="16"/>
              </w:rPr>
            </w:pP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r>
      <w:tr w:rsidR="0098786C" w:rsidTr="001F13DD">
        <w:trPr>
          <w:trHeight w:val="402"/>
        </w:trPr>
        <w:tc>
          <w:tcPr>
            <w:tcW w:w="1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ind w:left="426"/>
              <w:jc w:val="center"/>
              <w:rPr>
                <w:rFonts w:ascii="Times New Roman" w:hAnsi="Times New Roman" w:cs="Times New Roman"/>
                <w:sz w:val="16"/>
                <w:szCs w:val="16"/>
              </w:rPr>
            </w:pP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pStyle w:val="Standard"/>
              <w:jc w:val="center"/>
              <w:rPr>
                <w:rFonts w:cs="Times New Roman"/>
                <w:color w:val="000000"/>
                <w:sz w:val="20"/>
                <w:szCs w:val="20"/>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sz w:val="16"/>
                <w:szCs w:val="16"/>
              </w:rPr>
            </w:pP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1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134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261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color w:val="FF0000"/>
                <w:sz w:val="16"/>
                <w:szCs w:val="16"/>
              </w:rPr>
            </w:pP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r>
      <w:tr w:rsidR="0098786C" w:rsidTr="001F13DD">
        <w:trPr>
          <w:trHeight w:val="402"/>
        </w:trPr>
        <w:tc>
          <w:tcPr>
            <w:tcW w:w="16232" w:type="dxa"/>
            <w:gridSpan w:val="1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A473E5">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KALIBRATORY</w:t>
            </w:r>
          </w:p>
        </w:tc>
      </w:tr>
      <w:tr w:rsidR="0098786C" w:rsidTr="001F13DD">
        <w:trPr>
          <w:trHeight w:val="402"/>
        </w:trPr>
        <w:tc>
          <w:tcPr>
            <w:tcW w:w="1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ind w:left="426"/>
              <w:jc w:val="center"/>
              <w:rPr>
                <w:rFonts w:ascii="Times New Roman" w:hAnsi="Times New Roman" w:cs="Times New Roman"/>
                <w:sz w:val="16"/>
                <w:szCs w:val="16"/>
              </w:rPr>
            </w:pP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pStyle w:val="Standard"/>
              <w:jc w:val="center"/>
              <w:rPr>
                <w:rFonts w:cs="Times New Roman"/>
                <w:color w:val="000000"/>
                <w:sz w:val="20"/>
                <w:szCs w:val="20"/>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sz w:val="16"/>
                <w:szCs w:val="16"/>
              </w:rPr>
            </w:pP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1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134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261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color w:val="FF0000"/>
                <w:sz w:val="16"/>
                <w:szCs w:val="16"/>
              </w:rPr>
            </w:pP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r>
      <w:tr w:rsidR="0098786C" w:rsidTr="001F13DD">
        <w:trPr>
          <w:trHeight w:val="402"/>
        </w:trPr>
        <w:tc>
          <w:tcPr>
            <w:tcW w:w="1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ind w:left="426"/>
              <w:jc w:val="center"/>
              <w:rPr>
                <w:rFonts w:ascii="Times New Roman" w:hAnsi="Times New Roman" w:cs="Times New Roman"/>
                <w:sz w:val="16"/>
                <w:szCs w:val="16"/>
              </w:rPr>
            </w:pP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pStyle w:val="Standard"/>
              <w:jc w:val="center"/>
              <w:rPr>
                <w:rFonts w:cs="Times New Roman"/>
                <w:color w:val="000000"/>
                <w:sz w:val="20"/>
                <w:szCs w:val="20"/>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sz w:val="16"/>
                <w:szCs w:val="16"/>
              </w:rPr>
            </w:pP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1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134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261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color w:val="FF0000"/>
                <w:sz w:val="16"/>
                <w:szCs w:val="16"/>
              </w:rPr>
            </w:pP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r>
      <w:tr w:rsidR="0098786C" w:rsidTr="001F13DD">
        <w:trPr>
          <w:trHeight w:val="402"/>
        </w:trPr>
        <w:tc>
          <w:tcPr>
            <w:tcW w:w="1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ind w:left="426"/>
              <w:jc w:val="center"/>
              <w:rPr>
                <w:rFonts w:ascii="Times New Roman" w:hAnsi="Times New Roman" w:cs="Times New Roman"/>
                <w:sz w:val="16"/>
                <w:szCs w:val="16"/>
              </w:rPr>
            </w:pP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pStyle w:val="Standard"/>
              <w:jc w:val="center"/>
              <w:rPr>
                <w:rFonts w:cs="Times New Roman"/>
                <w:color w:val="000000"/>
                <w:sz w:val="20"/>
                <w:szCs w:val="20"/>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sz w:val="16"/>
                <w:szCs w:val="16"/>
              </w:rPr>
            </w:pP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1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134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261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color w:val="FF0000"/>
                <w:sz w:val="16"/>
                <w:szCs w:val="16"/>
              </w:rPr>
            </w:pP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r>
      <w:tr w:rsidR="0098786C" w:rsidTr="001F13DD">
        <w:trPr>
          <w:trHeight w:val="402"/>
        </w:trPr>
        <w:tc>
          <w:tcPr>
            <w:tcW w:w="16232" w:type="dxa"/>
            <w:gridSpan w:val="1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A473E5">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MATERIAŁY ZUŻYWALNE I EKSPLOATACYJNE</w:t>
            </w:r>
          </w:p>
        </w:tc>
      </w:tr>
      <w:tr w:rsidR="0098786C" w:rsidTr="001F13DD">
        <w:trPr>
          <w:trHeight w:val="402"/>
        </w:trPr>
        <w:tc>
          <w:tcPr>
            <w:tcW w:w="1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ind w:left="426"/>
              <w:jc w:val="center"/>
              <w:rPr>
                <w:rFonts w:ascii="Times New Roman" w:hAnsi="Times New Roman" w:cs="Times New Roman"/>
                <w:sz w:val="16"/>
                <w:szCs w:val="16"/>
              </w:rPr>
            </w:pP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pStyle w:val="Standard"/>
              <w:jc w:val="center"/>
              <w:rPr>
                <w:rFonts w:cs="Times New Roman"/>
                <w:color w:val="000000"/>
                <w:sz w:val="20"/>
                <w:szCs w:val="20"/>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sz w:val="16"/>
                <w:szCs w:val="16"/>
              </w:rPr>
            </w:pP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1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134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261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color w:val="FF0000"/>
                <w:sz w:val="16"/>
                <w:szCs w:val="16"/>
              </w:rPr>
            </w:pP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r>
      <w:tr w:rsidR="0098786C" w:rsidTr="001F13DD">
        <w:trPr>
          <w:trHeight w:val="402"/>
        </w:trPr>
        <w:tc>
          <w:tcPr>
            <w:tcW w:w="1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ind w:left="426"/>
              <w:jc w:val="center"/>
              <w:rPr>
                <w:rFonts w:ascii="Times New Roman" w:hAnsi="Times New Roman" w:cs="Times New Roman"/>
                <w:sz w:val="16"/>
                <w:szCs w:val="16"/>
              </w:rPr>
            </w:pP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pStyle w:val="Standard"/>
              <w:jc w:val="center"/>
              <w:rPr>
                <w:rFonts w:cs="Times New Roman"/>
                <w:color w:val="000000"/>
                <w:sz w:val="20"/>
                <w:szCs w:val="20"/>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sz w:val="16"/>
                <w:szCs w:val="16"/>
              </w:rPr>
            </w:pP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1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134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261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color w:val="FF0000"/>
                <w:sz w:val="16"/>
                <w:szCs w:val="16"/>
              </w:rPr>
            </w:pP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r>
      <w:tr w:rsidR="0098786C" w:rsidTr="001F13DD">
        <w:trPr>
          <w:trHeight w:val="402"/>
        </w:trPr>
        <w:tc>
          <w:tcPr>
            <w:tcW w:w="1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ind w:left="426"/>
              <w:jc w:val="center"/>
              <w:rPr>
                <w:rFonts w:ascii="Times New Roman" w:hAnsi="Times New Roman" w:cs="Times New Roman"/>
                <w:sz w:val="16"/>
                <w:szCs w:val="16"/>
              </w:rPr>
            </w:pPr>
          </w:p>
        </w:tc>
        <w:tc>
          <w:tcPr>
            <w:tcW w:w="14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pStyle w:val="Standard"/>
              <w:jc w:val="center"/>
              <w:rPr>
                <w:rFonts w:cs="Times New Roman"/>
                <w:color w:val="000000"/>
                <w:sz w:val="20"/>
                <w:szCs w:val="20"/>
              </w:rPr>
            </w:pPr>
          </w:p>
        </w:tc>
        <w:tc>
          <w:tcPr>
            <w:tcW w:w="9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sz w:val="16"/>
                <w:szCs w:val="16"/>
              </w:rPr>
            </w:pP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12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134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261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color w:val="FF0000"/>
                <w:sz w:val="16"/>
                <w:szCs w:val="16"/>
              </w:rPr>
            </w:pPr>
          </w:p>
        </w:tc>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8786C" w:rsidRDefault="0098786C">
            <w:pPr>
              <w:spacing w:after="0" w:line="240" w:lineRule="auto"/>
              <w:jc w:val="center"/>
              <w:rPr>
                <w:rFonts w:ascii="Times New Roman" w:hAnsi="Times New Roman" w:cs="Times New Roman"/>
                <w:b/>
                <w:sz w:val="16"/>
                <w:szCs w:val="16"/>
              </w:rPr>
            </w:pPr>
          </w:p>
        </w:tc>
      </w:tr>
    </w:tbl>
    <w:p w:rsidR="0098786C" w:rsidRDefault="0098786C">
      <w:pPr>
        <w:jc w:val="both"/>
        <w:rPr>
          <w:rFonts w:ascii="Times New Roman" w:hAnsi="Times New Roman" w:cs="Times New Roman"/>
          <w:b/>
          <w:sz w:val="18"/>
          <w:szCs w:val="18"/>
        </w:rPr>
      </w:pPr>
    </w:p>
    <w:p w:rsidR="0098786C" w:rsidRDefault="00A473E5">
      <w:pPr>
        <w:spacing w:after="0" w:line="240" w:lineRule="auto"/>
        <w:jc w:val="both"/>
        <w:rPr>
          <w:rFonts w:hint="eastAsia"/>
        </w:rPr>
      </w:pPr>
      <w:r>
        <w:rPr>
          <w:rFonts w:ascii="Times New Roman" w:hAnsi="Times New Roman" w:cs="Times New Roman"/>
          <w:b/>
        </w:rPr>
        <w:t>WARUNKI GRANICZNE DLA ODCZYNNIKÓW – WYMAGANIA SZCZEGÓŁOWE.</w:t>
      </w:r>
    </w:p>
    <w:p w:rsidR="0098786C" w:rsidRDefault="00A473E5">
      <w:pPr>
        <w:pStyle w:val="Standard"/>
        <w:spacing w:line="276" w:lineRule="auto"/>
        <w:jc w:val="both"/>
      </w:pPr>
      <w:r>
        <w:t>1. Dla wszystkich trzech parametrów do podanej ilości wykonywanych badań należy doliczyć badania kontroli wewnętrznej, wykonywane codziennie (</w:t>
      </w:r>
      <w:r>
        <w:rPr>
          <w:u w:val="single"/>
        </w:rPr>
        <w:t>w przypadku zaoferowania trzech poziomów materiału kontrolnego</w:t>
      </w:r>
      <w:r>
        <w:t>: do podanej ilości wszystkich trzech parametrów należy doliczyć badania kontrolne wykonywane codziennie, naprzemiennie 2 poziomy i 3 poziomy według schematu: 5 razy w tygodniu na 2 poziomach według schematu: wysoki, niski (2 poziomy) i 2 razy w tygodniu na 3 poziomach według schematu: wysoki, normalny, niski (3 poziomy).</w:t>
      </w:r>
    </w:p>
    <w:p w:rsidR="0098786C" w:rsidRDefault="00A473E5">
      <w:pPr>
        <w:pStyle w:val="Standard"/>
        <w:spacing w:line="276" w:lineRule="auto"/>
        <w:jc w:val="both"/>
      </w:pPr>
      <w:r>
        <w:rPr>
          <w:u w:val="single"/>
        </w:rPr>
        <w:t>W przypadku zaoferowania dwóch poziomów materiału kontrolnego</w:t>
      </w:r>
      <w:r>
        <w:t xml:space="preserve">: do podanej ilości wszystkich trzech parametrów należy doliczyć badania </w:t>
      </w:r>
      <w:r>
        <w:lastRenderedPageBreak/>
        <w:t>kontrolne wykonywane codziennie na obydwu poziomach).</w:t>
      </w:r>
    </w:p>
    <w:p w:rsidR="0098786C" w:rsidRDefault="00A473E5">
      <w:pPr>
        <w:pStyle w:val="Standard"/>
        <w:spacing w:line="276" w:lineRule="auto"/>
        <w:jc w:val="both"/>
      </w:pPr>
      <w:r>
        <w:t>2. Dla wszystkich trzech parametrów, należy również uwzględnić dodatkowe zużycie odczynnika spowodowane koniecznością powtórzeń                            w przypadku wyników skrajnie patologicznych (około 2% podanej wartości).</w:t>
      </w:r>
    </w:p>
    <w:p w:rsidR="0098786C" w:rsidRDefault="00A473E5">
      <w:pPr>
        <w:pStyle w:val="Standard"/>
        <w:spacing w:line="276" w:lineRule="auto"/>
        <w:jc w:val="both"/>
      </w:pPr>
      <w:r>
        <w:t>3. Dla wszystkich 3 parametrów zapewnienie udziału w zewnętrznej kontroli jakości, co najmniej 4 razy w roku zakończonej uzyskaniem certyfikatu (należy uwzględnić dodatkowe zużycie odczynnika spowodowane koniecznością wykonania oznaczeń w zewnętrznym materiale kontrolnym).</w:t>
      </w:r>
    </w:p>
    <w:p w:rsidR="0098786C" w:rsidRDefault="00A473E5">
      <w:pPr>
        <w:pStyle w:val="Standard"/>
        <w:spacing w:line="276" w:lineRule="auto"/>
        <w:jc w:val="both"/>
      </w:pPr>
      <w:r>
        <w:t xml:space="preserve">4. Dla wszystkich 3 parametrów należy również uwzględnić dodatkowe zużycie odczynnika spowodowane koniecznością wykonania oznaczeń kalibracyjnych przez cały okres trwania umowy.                                                                                                                                                                     </w:t>
      </w:r>
    </w:p>
    <w:p w:rsidR="0098786C" w:rsidRDefault="00A473E5">
      <w:pPr>
        <w:pStyle w:val="Standard"/>
        <w:spacing w:line="276" w:lineRule="auto"/>
        <w:jc w:val="both"/>
      </w:pPr>
      <w:r>
        <w:t>5. Należy zaoferować taką ilość odczynników, która zapewni wykonanie przedstawionych w tabeli ilości badań, z uwzględnieniem terminu ważności po otwarciu i wstawieniu na pokład analizatora, zgodnie z oficjalną ulotką od producenta, ilości testów z przeznaczeniem na kalibrację, kontrolę jakości badań wewnątrz i zewnątrz laboratoryjną oraz powtórzeń (2% dla każdego testu).</w:t>
      </w:r>
    </w:p>
    <w:p w:rsidR="0098786C" w:rsidRDefault="00A473E5">
      <w:pPr>
        <w:pStyle w:val="Standard"/>
        <w:spacing w:line="276" w:lineRule="auto"/>
        <w:jc w:val="both"/>
      </w:pPr>
      <w:r>
        <w:t xml:space="preserve">6. W przypadku wielkości opakowań nie odpowiadającej końcowej ilości badań, należy zaokrąglić do pełnego opakowania w górę biorąc pod uwagę trwałość odczynników, kalibratorów i materiałów kontrolnych po otwarciu, zgodnie z oficjalną ulotką producenta, którą należy dołączyć do oferty.            </w:t>
      </w:r>
    </w:p>
    <w:p w:rsidR="0098786C" w:rsidRDefault="00A473E5">
      <w:pPr>
        <w:pStyle w:val="Standard"/>
        <w:spacing w:line="276" w:lineRule="auto"/>
        <w:jc w:val="both"/>
      </w:pPr>
      <w:r>
        <w:t>7. Zachowanie tej samej serii odczynników nie krócej niż 6 miesięcy, materiałów kontrolnych z tym samym numerem LOT przez okres 1 roku.</w:t>
      </w:r>
    </w:p>
    <w:p w:rsidR="0098786C" w:rsidRDefault="00A473E5">
      <w:pPr>
        <w:pStyle w:val="Standard"/>
        <w:spacing w:line="276" w:lineRule="auto"/>
        <w:jc w:val="both"/>
      </w:pPr>
      <w:r>
        <w:t>8. Trwałość odczynników, kalibratorów i materiałów kontrolnych minimum 9 miesięcy od daty dostawy.</w:t>
      </w:r>
    </w:p>
    <w:p w:rsidR="0098786C" w:rsidRDefault="00A473E5">
      <w:pPr>
        <w:pStyle w:val="Standard"/>
        <w:spacing w:line="276" w:lineRule="auto"/>
        <w:jc w:val="both"/>
        <w:rPr>
          <w:color w:val="000000"/>
        </w:rPr>
      </w:pPr>
      <w:r>
        <w:rPr>
          <w:color w:val="000000"/>
        </w:rPr>
        <w:t xml:space="preserve">9. Zapewnienie udziału w zintegrowanym systemie jakości </w:t>
      </w:r>
      <w:proofErr w:type="spellStart"/>
      <w:r>
        <w:rPr>
          <w:color w:val="000000"/>
        </w:rPr>
        <w:t>StandLab</w:t>
      </w:r>
      <w:proofErr w:type="spellEnd"/>
      <w:r>
        <w:rPr>
          <w:color w:val="000000"/>
        </w:rPr>
        <w:t>.</w:t>
      </w:r>
    </w:p>
    <w:p w:rsidR="0098786C" w:rsidRDefault="00A473E5">
      <w:pPr>
        <w:pStyle w:val="Standard"/>
        <w:spacing w:line="276" w:lineRule="auto"/>
        <w:jc w:val="both"/>
      </w:pPr>
      <w:r>
        <w:t>10. Po podpisaniu umowy Wykonawca przekaże Zamawiającemu informacje w formie pisemnej o sposobie postępowania z odpadami stałymi                           i płynnymi powstałymi w czasie pracy analizatora.</w:t>
      </w:r>
    </w:p>
    <w:p w:rsidR="0098786C" w:rsidRDefault="00A473E5">
      <w:pPr>
        <w:pStyle w:val="Standard"/>
        <w:spacing w:line="276" w:lineRule="auto"/>
      </w:pPr>
      <w:r>
        <w:t>11. Wraz z pierwszą dostawą odczynników dostarczenie kart charakterystyki substancji niebezpiecznych w formie papierowej.</w:t>
      </w:r>
    </w:p>
    <w:p w:rsidR="0098786C" w:rsidRDefault="00A473E5">
      <w:pPr>
        <w:pStyle w:val="Standard"/>
        <w:spacing w:line="276" w:lineRule="auto"/>
      </w:pPr>
      <w:r>
        <w:t>12. Ilość zaoferowanego odczynnika musi zapewnić wykonanie wszystkich oznaczeń zgodnie z metodyką pracy analizatora.</w:t>
      </w:r>
    </w:p>
    <w:p w:rsidR="0098786C" w:rsidRDefault="00A473E5">
      <w:pPr>
        <w:pStyle w:val="Standard"/>
        <w:spacing w:line="276" w:lineRule="auto"/>
        <w:jc w:val="both"/>
      </w:pPr>
      <w:r>
        <w:t>13. Nie ujęcie jakiegokolwiek elementu niezbędnego do wykonania badania lub ujęcie niedostatecznej ilości, skutkować będzie dostarczeniem brakujących składników na koszt Wykonawcy w ciągu całego okresu trwania umowy.</w:t>
      </w:r>
    </w:p>
    <w:p w:rsidR="0098786C" w:rsidRPr="001F13DD" w:rsidRDefault="00A473E5">
      <w:pPr>
        <w:pStyle w:val="Standard"/>
        <w:spacing w:line="276" w:lineRule="auto"/>
        <w:jc w:val="both"/>
      </w:pPr>
      <w:r>
        <w:t xml:space="preserve">14. Podanie dla każdego parametru zawartego w </w:t>
      </w:r>
      <w:r w:rsidRPr="001F13DD">
        <w:t>formularzu cenowym-część 1</w:t>
      </w:r>
      <w:r>
        <w:rPr>
          <w:color w:val="0066FF"/>
        </w:rPr>
        <w:t xml:space="preserve"> </w:t>
      </w:r>
      <w:r>
        <w:t xml:space="preserve">częstości wymaganych kalibracji w trakcie trwania umowy, podania ilości oznaczeń wykonanych w ramach jednej kalibracji z uwzględnieniem ilości powtórzeń, zgodnie z poniższą tabelą </w:t>
      </w:r>
      <w:r w:rsidRPr="001F13DD">
        <w:rPr>
          <w:b/>
          <w:bCs/>
          <w:highlight w:val="white"/>
        </w:rPr>
        <w:t>(tab. nr 1)</w:t>
      </w:r>
    </w:p>
    <w:p w:rsidR="0098786C" w:rsidRPr="001F13DD" w:rsidRDefault="00A473E5">
      <w:pPr>
        <w:pStyle w:val="Standard"/>
        <w:spacing w:line="276" w:lineRule="auto"/>
        <w:jc w:val="both"/>
      </w:pPr>
      <w:r>
        <w:t xml:space="preserve">15. Podanie niezbędnej do wykonania badania objętości martwej oraz minimalnej ilości próbki badanej, materiału kontrolnego, kalibracyjnego  zgodnie z poniższą tabela </w:t>
      </w:r>
      <w:r w:rsidRPr="001F13DD">
        <w:rPr>
          <w:b/>
          <w:bCs/>
          <w:highlight w:val="white"/>
        </w:rPr>
        <w:t>(tab. nr 2)</w:t>
      </w:r>
    </w:p>
    <w:p w:rsidR="0098786C" w:rsidRDefault="0098786C">
      <w:pPr>
        <w:pStyle w:val="Standard"/>
        <w:spacing w:line="276" w:lineRule="auto"/>
        <w:jc w:val="both"/>
      </w:pPr>
    </w:p>
    <w:p w:rsidR="0098786C" w:rsidRDefault="00A473E5">
      <w:pPr>
        <w:pStyle w:val="Standard"/>
        <w:spacing w:line="276" w:lineRule="auto"/>
        <w:jc w:val="both"/>
        <w:rPr>
          <w:b/>
          <w:bCs/>
          <w:color w:val="000000"/>
        </w:rPr>
      </w:pPr>
      <w:r>
        <w:rPr>
          <w:b/>
          <w:bCs/>
          <w:color w:val="000000"/>
        </w:rPr>
        <w:lastRenderedPageBreak/>
        <w:t>WARUNKI GRANICZNE DLA ODCZYNNIKÓW-WYMAGANIA OGÓLNE:</w:t>
      </w:r>
    </w:p>
    <w:p w:rsidR="0098786C" w:rsidRDefault="00A473E5">
      <w:pPr>
        <w:pStyle w:val="Standard"/>
        <w:numPr>
          <w:ilvl w:val="0"/>
          <w:numId w:val="2"/>
        </w:numPr>
        <w:tabs>
          <w:tab w:val="left" w:pos="426"/>
        </w:tabs>
        <w:spacing w:line="276" w:lineRule="auto"/>
        <w:ind w:left="0" w:firstLine="0"/>
        <w:rPr>
          <w:rFonts w:cs="Times New Roman"/>
        </w:rPr>
      </w:pPr>
      <w:r>
        <w:rPr>
          <w:rFonts w:cs="Times New Roman"/>
        </w:rPr>
        <w:t xml:space="preserve">Dostawa odczynników w ciągu 3 dni roboczych od momentu złożenia zamówienia </w:t>
      </w:r>
      <w:proofErr w:type="spellStart"/>
      <w:r>
        <w:rPr>
          <w:rFonts w:cs="Times New Roman"/>
        </w:rPr>
        <w:t>faxem</w:t>
      </w:r>
      <w:proofErr w:type="spellEnd"/>
      <w:r>
        <w:rPr>
          <w:rFonts w:cs="Times New Roman"/>
        </w:rPr>
        <w:t xml:space="preserve"> lub e-mail. W przypadku pilnego zamówienia (tryb „CITO”) Wykonawca zobowiązuje się dostarczyć zamawiany asortyment do 48 godzin w dni robocze od momentu złożenia zamówienia </w:t>
      </w:r>
      <w:proofErr w:type="spellStart"/>
      <w:r>
        <w:rPr>
          <w:rFonts w:cs="Times New Roman"/>
        </w:rPr>
        <w:t>faxem</w:t>
      </w:r>
      <w:proofErr w:type="spellEnd"/>
      <w:r>
        <w:rPr>
          <w:rFonts w:cs="Times New Roman"/>
        </w:rPr>
        <w:t xml:space="preserve"> lub e-mail.                                                                                                                                                                                                                                                                2. Czas reklamacji nie może przekroczyć 48 godz. od daty zgłoszenia reklamacji (zgłoszenie dokonane w formie telefonicznej, e-mail, </w:t>
      </w:r>
      <w:proofErr w:type="spellStart"/>
      <w:r>
        <w:rPr>
          <w:rFonts w:cs="Times New Roman"/>
        </w:rPr>
        <w:t>fax</w:t>
      </w:r>
      <w:proofErr w:type="spellEnd"/>
      <w:r>
        <w:rPr>
          <w:rFonts w:cs="Times New Roman"/>
        </w:rPr>
        <w:t>), do momentu jej rozpatrzenia. Wymiana odczynników, kalibratorów, materiałów kontrolnych, materiałów zużywalnych, wszystkich elementów bez których analizator nie będzie prawidłowo funkcjonował, musi nastąpić przed upływem kolejnych 48 godzin. Po tym czasie, gdy nadal nie otrzymano pełnowartościowego asortymentu lub w sytuacji, gdy powtórnie, w ramach wymiany otrzymano uszkodzony, niepełnowartościowy asortyment, w efekcie powodując zatrzymanie ciągłości pracy analizatora, Wykonawca pokrywa koszty badań wykonanych u Podwykonawcy wskazanego przez Zamawiającego, łącznie z kosztem transportu związanym z dostarczeniem materiału i odbiorem wyników badań. W przypadku, kiedy Wykonawca zapewnia transport na czas awarii, Wykonawca pokrywa wyłącznie koszt badań u Podwykonawcy wskazanego przez Zamawiającego.</w:t>
      </w:r>
      <w:r>
        <w:rPr>
          <w:rFonts w:cs="Times New Roman"/>
          <w:color w:val="FF0000"/>
        </w:rPr>
        <w:t xml:space="preserve">                                </w:t>
      </w:r>
    </w:p>
    <w:p w:rsidR="0098786C" w:rsidRDefault="00A473E5">
      <w:pPr>
        <w:pStyle w:val="Standard"/>
        <w:spacing w:line="276" w:lineRule="auto"/>
        <w:jc w:val="both"/>
      </w:pPr>
      <w:r>
        <w:rPr>
          <w:rFonts w:cs="Times New Roman"/>
        </w:rPr>
        <w:t xml:space="preserve">3. </w:t>
      </w:r>
      <w:r>
        <w:rPr>
          <w:rFonts w:cs="Times New Roman"/>
          <w:shd w:val="clear" w:color="auto" w:fill="FFFFFF"/>
        </w:rPr>
        <w:t xml:space="preserve">Wykonawca zobowiązuje się uzupełnić braki ilościowe – jeżeli takie zostaną stwierdzone przez Zamawiającego – w otrzymanym towarze w terminie do 48 godzin w dni robocze od zgłoszenia telefonicznego, </w:t>
      </w:r>
      <w:proofErr w:type="spellStart"/>
      <w:r>
        <w:rPr>
          <w:rFonts w:cs="Times New Roman"/>
          <w:shd w:val="clear" w:color="auto" w:fill="FFFFFF"/>
        </w:rPr>
        <w:t>faxem</w:t>
      </w:r>
      <w:proofErr w:type="spellEnd"/>
      <w:r>
        <w:rPr>
          <w:rFonts w:cs="Times New Roman"/>
          <w:shd w:val="clear" w:color="auto" w:fill="FFFFFF"/>
        </w:rPr>
        <w:t>, e-mail</w:t>
      </w:r>
      <w:r w:rsidR="001F13DD">
        <w:rPr>
          <w:rFonts w:cs="Times New Roman"/>
          <w:shd w:val="clear" w:color="auto" w:fill="FFFFFF"/>
        </w:rPr>
        <w:t xml:space="preserve">. </w:t>
      </w:r>
      <w:r>
        <w:rPr>
          <w:rFonts w:cs="Times New Roman"/>
        </w:rPr>
        <w:t>Po upływie tego czasu i nieuzupełnieniu braków ilościowych, Zamawiający w celu utrzymania ciągłości wykonywania badań, ma prawo zlecić wykonanie badań w innej placówce wybranej przez siebie na koszt Wykonawcy, a Wykonawca pokrywa koszty badań wykonanych u Podwykonawcy wskazanego przez Zamawiającego, łącznie z kosztem transportu związanym z dostarczeniem materiału i odbiorem wyników badań. W przypadku zapewnienia przez Wykonawcę transportu, Wykonawca pokrywa wyłącznie koszt badań wykonanych u Podwykonawcy wskazanego przez Zamawiającego.</w:t>
      </w:r>
    </w:p>
    <w:p w:rsidR="0098786C" w:rsidRDefault="00A473E5">
      <w:pPr>
        <w:pStyle w:val="Standard"/>
        <w:spacing w:line="276" w:lineRule="auto"/>
        <w:jc w:val="both"/>
        <w:rPr>
          <w:rFonts w:cs="Times New Roman"/>
        </w:rPr>
      </w:pPr>
      <w:r>
        <w:rPr>
          <w:rFonts w:cs="Times New Roman"/>
        </w:rPr>
        <w:t>4. Wyrównanie strat odczynnikowych spowodowanych udokumentowaną niesprawnością analizatora w trakcie trwania procesu analitycznego i nie uzyskania wiarygodnych wyników.</w:t>
      </w:r>
    </w:p>
    <w:p w:rsidR="0098786C" w:rsidRDefault="00A473E5">
      <w:pPr>
        <w:pStyle w:val="Standard"/>
        <w:spacing w:line="276" w:lineRule="auto"/>
        <w:jc w:val="both"/>
        <w:rPr>
          <w:rFonts w:cs="Times New Roman"/>
        </w:rPr>
      </w:pPr>
      <w:r>
        <w:rPr>
          <w:rFonts w:cs="Times New Roman"/>
        </w:rPr>
        <w:t>5. Ponoszenie kosztów związanych z odbiorem i utylizacja odpadów stałych (np. opakowania po zużytych odczynnikach) powstałych w czasie pracy analizatora.</w:t>
      </w:r>
    </w:p>
    <w:p w:rsidR="0098786C" w:rsidRDefault="0098786C">
      <w:pPr>
        <w:jc w:val="center"/>
        <w:rPr>
          <w:rFonts w:ascii="Verdana" w:hAnsi="Verdana" w:cs="Times New Roman"/>
          <w:b/>
          <w:sz w:val="18"/>
          <w:szCs w:val="18"/>
        </w:rPr>
      </w:pPr>
    </w:p>
    <w:p w:rsidR="0098786C" w:rsidRDefault="0098786C">
      <w:pPr>
        <w:pStyle w:val="Standard"/>
      </w:pPr>
    </w:p>
    <w:p w:rsidR="0098786C" w:rsidRDefault="0098786C">
      <w:pPr>
        <w:pStyle w:val="Standard"/>
      </w:pPr>
    </w:p>
    <w:p w:rsidR="0098786C" w:rsidRDefault="0098786C">
      <w:pPr>
        <w:pStyle w:val="Standard"/>
      </w:pPr>
    </w:p>
    <w:p w:rsidR="0098786C" w:rsidRDefault="0098786C">
      <w:pPr>
        <w:pStyle w:val="Standard"/>
      </w:pPr>
    </w:p>
    <w:p w:rsidR="0098786C" w:rsidRDefault="0098786C">
      <w:pPr>
        <w:pStyle w:val="Standard"/>
      </w:pPr>
    </w:p>
    <w:p w:rsidR="0098786C" w:rsidRDefault="0098786C">
      <w:pPr>
        <w:pStyle w:val="Standard"/>
      </w:pPr>
    </w:p>
    <w:p w:rsidR="0098786C" w:rsidRDefault="0098786C">
      <w:pPr>
        <w:pStyle w:val="Standard"/>
      </w:pPr>
    </w:p>
    <w:p w:rsidR="0098786C" w:rsidRDefault="0098786C">
      <w:pPr>
        <w:pStyle w:val="Standard"/>
      </w:pPr>
    </w:p>
    <w:p w:rsidR="0098786C" w:rsidRDefault="0098786C">
      <w:pPr>
        <w:pStyle w:val="Standard"/>
      </w:pPr>
    </w:p>
    <w:p w:rsidR="0098786C" w:rsidRPr="001F13DD" w:rsidRDefault="00A473E5">
      <w:pPr>
        <w:pStyle w:val="Standard"/>
        <w:spacing w:line="276" w:lineRule="auto"/>
        <w:jc w:val="both"/>
        <w:rPr>
          <w:rFonts w:cs="Times New Roman"/>
          <w:b/>
          <w:bCs/>
        </w:rPr>
      </w:pPr>
      <w:r w:rsidRPr="001F13DD">
        <w:rPr>
          <w:rFonts w:cs="Times New Roman"/>
          <w:b/>
          <w:bCs/>
        </w:rPr>
        <w:t>Tabela nr 1</w:t>
      </w:r>
    </w:p>
    <w:p w:rsidR="0098786C" w:rsidRDefault="0098786C">
      <w:pPr>
        <w:pStyle w:val="Standard"/>
        <w:spacing w:line="276" w:lineRule="auto"/>
        <w:jc w:val="both"/>
        <w:rPr>
          <w:rFonts w:cs="Times New Roman"/>
        </w:rPr>
      </w:pPr>
    </w:p>
    <w:p w:rsidR="0098786C" w:rsidRDefault="00A473E5">
      <w:pPr>
        <w:pStyle w:val="Standard"/>
        <w:spacing w:line="276" w:lineRule="auto"/>
        <w:jc w:val="both"/>
      </w:pPr>
      <w:r>
        <w:rPr>
          <w:rFonts w:cs="Times New Roman"/>
        </w:rPr>
        <w:t>Dotyczy pkt. 14 warunki graniczne dla odczynników</w:t>
      </w:r>
    </w:p>
    <w:tbl>
      <w:tblPr>
        <w:tblW w:w="14570" w:type="dxa"/>
        <w:tblInd w:w="120"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4A0"/>
      </w:tblPr>
      <w:tblGrid>
        <w:gridCol w:w="700"/>
        <w:gridCol w:w="2996"/>
        <w:gridCol w:w="1881"/>
        <w:gridCol w:w="3970"/>
        <w:gridCol w:w="5023"/>
      </w:tblGrid>
      <w:tr w:rsidR="0098786C">
        <w:trPr>
          <w:cantSplit/>
          <w:trHeight w:val="988"/>
        </w:trPr>
        <w:tc>
          <w:tcPr>
            <w:tcW w:w="700" w:type="dxa"/>
            <w:tcBorders>
              <w:top w:val="single" w:sz="4" w:space="0" w:color="000001"/>
              <w:left w:val="single" w:sz="4" w:space="0" w:color="000001"/>
              <w:bottom w:val="single" w:sz="4" w:space="0" w:color="000001"/>
            </w:tcBorders>
            <w:shd w:val="clear" w:color="auto" w:fill="auto"/>
            <w:tcMar>
              <w:left w:w="65" w:type="dxa"/>
            </w:tcMar>
            <w:vAlign w:val="center"/>
          </w:tcPr>
          <w:p w:rsidR="0098786C" w:rsidRDefault="00A473E5">
            <w:pPr>
              <w:pStyle w:val="Standard"/>
              <w:jc w:val="center"/>
            </w:pPr>
            <w:r>
              <w:t>L.p.</w:t>
            </w:r>
          </w:p>
        </w:tc>
        <w:tc>
          <w:tcPr>
            <w:tcW w:w="2996" w:type="dxa"/>
            <w:tcBorders>
              <w:top w:val="single" w:sz="4" w:space="0" w:color="000001"/>
              <w:left w:val="single" w:sz="4" w:space="0" w:color="000001"/>
              <w:bottom w:val="single" w:sz="4" w:space="0" w:color="000001"/>
            </w:tcBorders>
            <w:shd w:val="clear" w:color="auto" w:fill="auto"/>
            <w:tcMar>
              <w:left w:w="65" w:type="dxa"/>
            </w:tcMar>
            <w:vAlign w:val="center"/>
          </w:tcPr>
          <w:p w:rsidR="0098786C" w:rsidRDefault="00A473E5">
            <w:pPr>
              <w:pStyle w:val="Standard"/>
              <w:jc w:val="center"/>
            </w:pPr>
            <w:r>
              <w:t>Nazwa odczynnika</w:t>
            </w:r>
          </w:p>
        </w:tc>
        <w:tc>
          <w:tcPr>
            <w:tcW w:w="1881" w:type="dxa"/>
            <w:tcBorders>
              <w:top w:val="single" w:sz="4" w:space="0" w:color="000001"/>
              <w:left w:val="single" w:sz="4" w:space="0" w:color="000001"/>
              <w:bottom w:val="single" w:sz="4" w:space="0" w:color="000001"/>
            </w:tcBorders>
            <w:shd w:val="clear" w:color="auto" w:fill="auto"/>
            <w:tcMar>
              <w:left w:w="65" w:type="dxa"/>
            </w:tcMar>
          </w:tcPr>
          <w:p w:rsidR="0098786C" w:rsidRDefault="0098786C">
            <w:pPr>
              <w:pStyle w:val="Standard"/>
              <w:snapToGrid w:val="0"/>
              <w:jc w:val="center"/>
              <w:rPr>
                <w:sz w:val="22"/>
                <w:szCs w:val="22"/>
              </w:rPr>
            </w:pPr>
          </w:p>
          <w:p w:rsidR="0098786C" w:rsidRDefault="00A473E5">
            <w:pPr>
              <w:pStyle w:val="Standard"/>
              <w:jc w:val="center"/>
            </w:pPr>
            <w:r>
              <w:t>Częstotliwość kalibracji</w:t>
            </w:r>
          </w:p>
        </w:tc>
        <w:tc>
          <w:tcPr>
            <w:tcW w:w="3970" w:type="dxa"/>
            <w:tcBorders>
              <w:top w:val="single" w:sz="4" w:space="0" w:color="000001"/>
              <w:left w:val="single" w:sz="4" w:space="0" w:color="000001"/>
              <w:bottom w:val="single" w:sz="4" w:space="0" w:color="000001"/>
            </w:tcBorders>
            <w:shd w:val="clear" w:color="auto" w:fill="auto"/>
            <w:tcMar>
              <w:left w:w="65" w:type="dxa"/>
            </w:tcMar>
            <w:vAlign w:val="center"/>
          </w:tcPr>
          <w:p w:rsidR="0098786C" w:rsidRDefault="00A473E5">
            <w:pPr>
              <w:pStyle w:val="Standard"/>
              <w:jc w:val="center"/>
            </w:pPr>
            <w:r>
              <w:t>Ilość oznaczeń wykonywanych w ramach 1 kalibracji (z uwzględnieniem ilości powtórzeń)</w:t>
            </w:r>
          </w:p>
        </w:tc>
        <w:tc>
          <w:tcPr>
            <w:tcW w:w="502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98786C" w:rsidRDefault="0098786C">
            <w:pPr>
              <w:pStyle w:val="Standard"/>
              <w:snapToGrid w:val="0"/>
              <w:jc w:val="center"/>
              <w:rPr>
                <w:sz w:val="22"/>
                <w:szCs w:val="22"/>
              </w:rPr>
            </w:pPr>
          </w:p>
          <w:p w:rsidR="0098786C" w:rsidRDefault="00A473E5" w:rsidP="001F13DD">
            <w:pPr>
              <w:pStyle w:val="Standard"/>
              <w:jc w:val="center"/>
            </w:pPr>
            <w:r>
              <w:t xml:space="preserve">Przewidywana ilość wykonywanych kalibracji w </w:t>
            </w:r>
            <w:r w:rsidRPr="001F13DD">
              <w:t xml:space="preserve">trakcie </w:t>
            </w:r>
            <w:r>
              <w:t>trwania umowy</w:t>
            </w:r>
          </w:p>
        </w:tc>
      </w:tr>
      <w:tr w:rsidR="0098786C">
        <w:trPr>
          <w:trHeight w:val="344"/>
        </w:trPr>
        <w:tc>
          <w:tcPr>
            <w:tcW w:w="700" w:type="dxa"/>
            <w:tcBorders>
              <w:left w:val="single" w:sz="4" w:space="0" w:color="000001"/>
              <w:bottom w:val="single" w:sz="4" w:space="0" w:color="000001"/>
            </w:tcBorders>
            <w:shd w:val="clear" w:color="auto" w:fill="auto"/>
            <w:tcMar>
              <w:left w:w="65" w:type="dxa"/>
            </w:tcMar>
            <w:vAlign w:val="center"/>
          </w:tcPr>
          <w:p w:rsidR="0098786C" w:rsidRDefault="00A473E5">
            <w:pPr>
              <w:pStyle w:val="Standard"/>
              <w:jc w:val="center"/>
            </w:pPr>
            <w:r>
              <w:t>1</w:t>
            </w:r>
          </w:p>
        </w:tc>
        <w:tc>
          <w:tcPr>
            <w:tcW w:w="2996" w:type="dxa"/>
            <w:tcBorders>
              <w:left w:val="single" w:sz="4" w:space="0" w:color="000001"/>
              <w:bottom w:val="single" w:sz="4" w:space="0" w:color="000001"/>
            </w:tcBorders>
            <w:shd w:val="clear" w:color="auto" w:fill="auto"/>
            <w:tcMar>
              <w:left w:w="65" w:type="dxa"/>
            </w:tcMar>
            <w:vAlign w:val="center"/>
          </w:tcPr>
          <w:p w:rsidR="0098786C" w:rsidRDefault="00A473E5">
            <w:pPr>
              <w:pStyle w:val="Standard"/>
            </w:pPr>
            <w:r>
              <w:rPr>
                <w:color w:val="000000"/>
              </w:rPr>
              <w:t xml:space="preserve">Wskaźnik </w:t>
            </w:r>
            <w:proofErr w:type="spellStart"/>
            <w:r>
              <w:rPr>
                <w:color w:val="000000"/>
              </w:rPr>
              <w:t>protrombinowy</w:t>
            </w:r>
            <w:proofErr w:type="spellEnd"/>
            <w:r>
              <w:rPr>
                <w:color w:val="000000"/>
              </w:rPr>
              <w:t xml:space="preserve"> PT</w:t>
            </w:r>
          </w:p>
        </w:tc>
        <w:tc>
          <w:tcPr>
            <w:tcW w:w="1881" w:type="dxa"/>
            <w:tcBorders>
              <w:top w:val="single" w:sz="4" w:space="0" w:color="000001"/>
              <w:left w:val="single" w:sz="4" w:space="0" w:color="000001"/>
              <w:bottom w:val="single" w:sz="4" w:space="0" w:color="000001"/>
            </w:tcBorders>
            <w:shd w:val="clear" w:color="auto" w:fill="auto"/>
            <w:tcMar>
              <w:left w:w="65" w:type="dxa"/>
            </w:tcMar>
          </w:tcPr>
          <w:p w:rsidR="0098786C" w:rsidRDefault="0098786C">
            <w:pPr>
              <w:pStyle w:val="Standard"/>
              <w:snapToGrid w:val="0"/>
              <w:jc w:val="center"/>
            </w:pPr>
          </w:p>
        </w:tc>
        <w:tc>
          <w:tcPr>
            <w:tcW w:w="3970" w:type="dxa"/>
            <w:tcBorders>
              <w:top w:val="single" w:sz="4" w:space="0" w:color="000001"/>
              <w:left w:val="single" w:sz="4" w:space="0" w:color="000001"/>
              <w:bottom w:val="single" w:sz="4" w:space="0" w:color="000001"/>
            </w:tcBorders>
            <w:shd w:val="clear" w:color="auto" w:fill="auto"/>
            <w:tcMar>
              <w:left w:w="65" w:type="dxa"/>
            </w:tcMar>
            <w:vAlign w:val="bottom"/>
          </w:tcPr>
          <w:p w:rsidR="0098786C" w:rsidRDefault="0098786C">
            <w:pPr>
              <w:pStyle w:val="Standard"/>
              <w:snapToGrid w:val="0"/>
              <w:jc w:val="center"/>
            </w:pPr>
          </w:p>
        </w:tc>
        <w:tc>
          <w:tcPr>
            <w:tcW w:w="502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98786C" w:rsidRDefault="0098786C">
            <w:pPr>
              <w:pStyle w:val="Standard"/>
              <w:snapToGrid w:val="0"/>
              <w:jc w:val="center"/>
            </w:pPr>
          </w:p>
        </w:tc>
      </w:tr>
      <w:tr w:rsidR="0098786C">
        <w:trPr>
          <w:trHeight w:val="344"/>
        </w:trPr>
        <w:tc>
          <w:tcPr>
            <w:tcW w:w="700" w:type="dxa"/>
            <w:tcBorders>
              <w:left w:val="single" w:sz="4" w:space="0" w:color="000001"/>
              <w:bottom w:val="single" w:sz="4" w:space="0" w:color="000001"/>
            </w:tcBorders>
            <w:shd w:val="clear" w:color="auto" w:fill="auto"/>
            <w:tcMar>
              <w:left w:w="65" w:type="dxa"/>
            </w:tcMar>
            <w:vAlign w:val="center"/>
          </w:tcPr>
          <w:p w:rsidR="0098786C" w:rsidRDefault="00A473E5">
            <w:pPr>
              <w:pStyle w:val="Standard"/>
              <w:jc w:val="center"/>
            </w:pPr>
            <w:r>
              <w:t>2</w:t>
            </w:r>
          </w:p>
        </w:tc>
        <w:tc>
          <w:tcPr>
            <w:tcW w:w="2996" w:type="dxa"/>
            <w:tcBorders>
              <w:left w:val="single" w:sz="4" w:space="0" w:color="000001"/>
              <w:bottom w:val="single" w:sz="4" w:space="0" w:color="000001"/>
            </w:tcBorders>
            <w:shd w:val="clear" w:color="auto" w:fill="auto"/>
            <w:tcMar>
              <w:left w:w="65" w:type="dxa"/>
            </w:tcMar>
            <w:vAlign w:val="center"/>
          </w:tcPr>
          <w:p w:rsidR="0098786C" w:rsidRDefault="00A473E5">
            <w:pPr>
              <w:pStyle w:val="Standard"/>
            </w:pPr>
            <w:r>
              <w:rPr>
                <w:color w:val="000000"/>
              </w:rPr>
              <w:t>APTT</w:t>
            </w:r>
          </w:p>
        </w:tc>
        <w:tc>
          <w:tcPr>
            <w:tcW w:w="1881" w:type="dxa"/>
            <w:tcBorders>
              <w:top w:val="single" w:sz="4" w:space="0" w:color="000001"/>
              <w:left w:val="single" w:sz="4" w:space="0" w:color="000001"/>
              <w:bottom w:val="single" w:sz="4" w:space="0" w:color="000001"/>
            </w:tcBorders>
            <w:shd w:val="clear" w:color="auto" w:fill="auto"/>
            <w:tcMar>
              <w:left w:w="65" w:type="dxa"/>
            </w:tcMar>
          </w:tcPr>
          <w:p w:rsidR="0098786C" w:rsidRDefault="0098786C">
            <w:pPr>
              <w:pStyle w:val="Standard"/>
              <w:snapToGrid w:val="0"/>
              <w:jc w:val="center"/>
            </w:pPr>
          </w:p>
        </w:tc>
        <w:tc>
          <w:tcPr>
            <w:tcW w:w="3970" w:type="dxa"/>
            <w:tcBorders>
              <w:top w:val="single" w:sz="4" w:space="0" w:color="000001"/>
              <w:left w:val="single" w:sz="4" w:space="0" w:color="000001"/>
              <w:bottom w:val="single" w:sz="4" w:space="0" w:color="000001"/>
            </w:tcBorders>
            <w:shd w:val="clear" w:color="auto" w:fill="auto"/>
            <w:tcMar>
              <w:left w:w="65" w:type="dxa"/>
            </w:tcMar>
            <w:vAlign w:val="bottom"/>
          </w:tcPr>
          <w:p w:rsidR="0098786C" w:rsidRDefault="0098786C">
            <w:pPr>
              <w:pStyle w:val="Standard"/>
              <w:snapToGrid w:val="0"/>
              <w:jc w:val="center"/>
            </w:pPr>
          </w:p>
        </w:tc>
        <w:tc>
          <w:tcPr>
            <w:tcW w:w="502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98786C" w:rsidRDefault="0098786C">
            <w:pPr>
              <w:pStyle w:val="Standard"/>
              <w:snapToGrid w:val="0"/>
              <w:jc w:val="center"/>
            </w:pPr>
          </w:p>
        </w:tc>
      </w:tr>
      <w:tr w:rsidR="0098786C">
        <w:trPr>
          <w:trHeight w:val="344"/>
        </w:trPr>
        <w:tc>
          <w:tcPr>
            <w:tcW w:w="700" w:type="dxa"/>
            <w:tcBorders>
              <w:left w:val="single" w:sz="4" w:space="0" w:color="000001"/>
              <w:bottom w:val="single" w:sz="4" w:space="0" w:color="000001"/>
            </w:tcBorders>
            <w:shd w:val="clear" w:color="auto" w:fill="auto"/>
            <w:tcMar>
              <w:left w:w="65" w:type="dxa"/>
            </w:tcMar>
            <w:vAlign w:val="center"/>
          </w:tcPr>
          <w:p w:rsidR="0098786C" w:rsidRDefault="00A473E5">
            <w:pPr>
              <w:pStyle w:val="Standard"/>
              <w:jc w:val="center"/>
            </w:pPr>
            <w:r>
              <w:t>3</w:t>
            </w:r>
          </w:p>
        </w:tc>
        <w:tc>
          <w:tcPr>
            <w:tcW w:w="2996" w:type="dxa"/>
            <w:tcBorders>
              <w:left w:val="single" w:sz="4" w:space="0" w:color="000001"/>
              <w:bottom w:val="single" w:sz="4" w:space="0" w:color="000001"/>
            </w:tcBorders>
            <w:shd w:val="clear" w:color="auto" w:fill="auto"/>
            <w:tcMar>
              <w:left w:w="65" w:type="dxa"/>
            </w:tcMar>
            <w:vAlign w:val="center"/>
          </w:tcPr>
          <w:p w:rsidR="0098786C" w:rsidRDefault="00A473E5">
            <w:pPr>
              <w:pStyle w:val="Standard"/>
            </w:pPr>
            <w:r>
              <w:rPr>
                <w:color w:val="000000"/>
              </w:rPr>
              <w:t>Fibrynogen metodą Clausa</w:t>
            </w:r>
          </w:p>
        </w:tc>
        <w:tc>
          <w:tcPr>
            <w:tcW w:w="1881" w:type="dxa"/>
            <w:tcBorders>
              <w:top w:val="single" w:sz="4" w:space="0" w:color="000001"/>
              <w:left w:val="single" w:sz="4" w:space="0" w:color="000001"/>
              <w:bottom w:val="single" w:sz="4" w:space="0" w:color="000001"/>
            </w:tcBorders>
            <w:shd w:val="clear" w:color="auto" w:fill="auto"/>
            <w:tcMar>
              <w:left w:w="65" w:type="dxa"/>
            </w:tcMar>
          </w:tcPr>
          <w:p w:rsidR="0098786C" w:rsidRDefault="0098786C">
            <w:pPr>
              <w:pStyle w:val="Standard"/>
              <w:snapToGrid w:val="0"/>
              <w:jc w:val="center"/>
            </w:pPr>
          </w:p>
        </w:tc>
        <w:tc>
          <w:tcPr>
            <w:tcW w:w="3970" w:type="dxa"/>
            <w:tcBorders>
              <w:top w:val="single" w:sz="4" w:space="0" w:color="000001"/>
              <w:left w:val="single" w:sz="4" w:space="0" w:color="000001"/>
              <w:bottom w:val="single" w:sz="4" w:space="0" w:color="000001"/>
            </w:tcBorders>
            <w:shd w:val="clear" w:color="auto" w:fill="auto"/>
            <w:tcMar>
              <w:left w:w="65" w:type="dxa"/>
            </w:tcMar>
            <w:vAlign w:val="bottom"/>
          </w:tcPr>
          <w:p w:rsidR="0098786C" w:rsidRDefault="0098786C">
            <w:pPr>
              <w:pStyle w:val="Standard"/>
              <w:snapToGrid w:val="0"/>
              <w:jc w:val="center"/>
            </w:pPr>
          </w:p>
        </w:tc>
        <w:tc>
          <w:tcPr>
            <w:tcW w:w="5023"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98786C" w:rsidRDefault="0098786C">
            <w:pPr>
              <w:pStyle w:val="Standard"/>
              <w:snapToGrid w:val="0"/>
              <w:jc w:val="center"/>
            </w:pPr>
          </w:p>
        </w:tc>
      </w:tr>
    </w:tbl>
    <w:p w:rsidR="0098786C" w:rsidRDefault="0098786C">
      <w:pPr>
        <w:jc w:val="center"/>
        <w:rPr>
          <w:rFonts w:ascii="Verdana" w:hAnsi="Verdana" w:cs="Times New Roman"/>
          <w:b/>
          <w:sz w:val="18"/>
          <w:szCs w:val="18"/>
        </w:rPr>
      </w:pPr>
    </w:p>
    <w:p w:rsidR="0098786C" w:rsidRDefault="0098786C">
      <w:pPr>
        <w:pStyle w:val="Standard"/>
        <w:rPr>
          <w:b/>
          <w:bCs/>
          <w:color w:val="0066FF"/>
        </w:rPr>
      </w:pPr>
    </w:p>
    <w:p w:rsidR="0098786C" w:rsidRDefault="0098786C">
      <w:pPr>
        <w:pStyle w:val="Standard"/>
        <w:rPr>
          <w:b/>
          <w:bCs/>
          <w:color w:val="0066FF"/>
        </w:rPr>
      </w:pPr>
    </w:p>
    <w:p w:rsidR="0098786C" w:rsidRPr="001F13DD" w:rsidRDefault="00A473E5">
      <w:pPr>
        <w:pStyle w:val="Standard"/>
        <w:rPr>
          <w:b/>
          <w:bCs/>
        </w:rPr>
      </w:pPr>
      <w:r w:rsidRPr="001F13DD">
        <w:rPr>
          <w:b/>
          <w:bCs/>
        </w:rPr>
        <w:t>Tabela nr 2</w:t>
      </w:r>
    </w:p>
    <w:p w:rsidR="0098786C" w:rsidRDefault="0098786C">
      <w:pPr>
        <w:pStyle w:val="Standard"/>
      </w:pPr>
    </w:p>
    <w:p w:rsidR="0098786C" w:rsidRDefault="00A473E5">
      <w:pPr>
        <w:pStyle w:val="Standard"/>
      </w:pPr>
      <w:r>
        <w:t>Dotyczy pkt. 14 warunki graniczne dla odczynników</w:t>
      </w:r>
    </w:p>
    <w:tbl>
      <w:tblPr>
        <w:tblStyle w:val="Tabela-Siatka"/>
        <w:tblW w:w="14220" w:type="dxa"/>
        <w:tblLook w:val="04A0"/>
      </w:tblPr>
      <w:tblGrid>
        <w:gridCol w:w="524"/>
        <w:gridCol w:w="2133"/>
        <w:gridCol w:w="1796"/>
        <w:gridCol w:w="3067"/>
        <w:gridCol w:w="3087"/>
        <w:gridCol w:w="3613"/>
      </w:tblGrid>
      <w:tr w:rsidR="0098786C">
        <w:tc>
          <w:tcPr>
            <w:tcW w:w="523" w:type="dxa"/>
            <w:shd w:val="clear" w:color="auto" w:fill="auto"/>
            <w:tcMar>
              <w:left w:w="108" w:type="dxa"/>
            </w:tcMar>
          </w:tcPr>
          <w:p w:rsidR="0098786C" w:rsidRDefault="00A473E5">
            <w:pPr>
              <w:pStyle w:val="Standard"/>
            </w:pPr>
            <w:r>
              <w:t>l.p.</w:t>
            </w:r>
          </w:p>
        </w:tc>
        <w:tc>
          <w:tcPr>
            <w:tcW w:w="2133" w:type="dxa"/>
            <w:shd w:val="clear" w:color="auto" w:fill="auto"/>
            <w:tcMar>
              <w:left w:w="108" w:type="dxa"/>
            </w:tcMar>
          </w:tcPr>
          <w:p w:rsidR="0098786C" w:rsidRDefault="00A473E5">
            <w:pPr>
              <w:pStyle w:val="Standard"/>
              <w:jc w:val="center"/>
            </w:pPr>
            <w:r>
              <w:t>Nazwa odczynnika</w:t>
            </w:r>
          </w:p>
        </w:tc>
        <w:tc>
          <w:tcPr>
            <w:tcW w:w="1796" w:type="dxa"/>
            <w:shd w:val="clear" w:color="auto" w:fill="auto"/>
            <w:tcMar>
              <w:left w:w="108" w:type="dxa"/>
            </w:tcMar>
          </w:tcPr>
          <w:p w:rsidR="0098786C" w:rsidRDefault="00A473E5">
            <w:pPr>
              <w:pStyle w:val="Standard"/>
              <w:jc w:val="center"/>
            </w:pPr>
            <w:r>
              <w:t>Objętość martwa analizatora</w:t>
            </w:r>
          </w:p>
        </w:tc>
        <w:tc>
          <w:tcPr>
            <w:tcW w:w="3067" w:type="dxa"/>
            <w:shd w:val="clear" w:color="auto" w:fill="auto"/>
            <w:tcMar>
              <w:left w:w="108" w:type="dxa"/>
            </w:tcMar>
          </w:tcPr>
          <w:p w:rsidR="0098786C" w:rsidRDefault="00A473E5">
            <w:pPr>
              <w:pStyle w:val="Standard"/>
              <w:jc w:val="center"/>
            </w:pPr>
            <w:r>
              <w:t>Objętość próbki badanej wymagana do wykonania jednego oznaczenia</w:t>
            </w:r>
          </w:p>
        </w:tc>
        <w:tc>
          <w:tcPr>
            <w:tcW w:w="3087" w:type="dxa"/>
            <w:shd w:val="clear" w:color="auto" w:fill="auto"/>
            <w:tcMar>
              <w:left w:w="108" w:type="dxa"/>
            </w:tcMar>
          </w:tcPr>
          <w:p w:rsidR="0098786C" w:rsidRDefault="00A473E5">
            <w:pPr>
              <w:pStyle w:val="Standard"/>
              <w:jc w:val="center"/>
            </w:pPr>
            <w:r>
              <w:rPr>
                <w:rFonts w:cs="Times New Roman"/>
                <w:color w:val="000000"/>
                <w:sz w:val="22"/>
                <w:szCs w:val="22"/>
              </w:rPr>
              <w:t>Objętość materiału kontrolnego wymagana do wykonania jednego oznaczenia</w:t>
            </w:r>
          </w:p>
        </w:tc>
        <w:tc>
          <w:tcPr>
            <w:tcW w:w="3613" w:type="dxa"/>
            <w:shd w:val="clear" w:color="auto" w:fill="auto"/>
            <w:tcMar>
              <w:left w:w="108" w:type="dxa"/>
            </w:tcMar>
          </w:tcPr>
          <w:p w:rsidR="0098786C" w:rsidRDefault="00A473E5">
            <w:pPr>
              <w:pStyle w:val="Standard"/>
              <w:jc w:val="center"/>
            </w:pPr>
            <w:r>
              <w:t>Objętość materiału kalibracyjnego wymagana do wykonania jednego oznaczenia</w:t>
            </w:r>
          </w:p>
        </w:tc>
      </w:tr>
      <w:tr w:rsidR="0098786C">
        <w:tc>
          <w:tcPr>
            <w:tcW w:w="523" w:type="dxa"/>
            <w:shd w:val="clear" w:color="auto" w:fill="auto"/>
            <w:tcMar>
              <w:left w:w="108" w:type="dxa"/>
            </w:tcMar>
            <w:vAlign w:val="center"/>
          </w:tcPr>
          <w:p w:rsidR="0098786C" w:rsidRDefault="00A473E5">
            <w:pPr>
              <w:pStyle w:val="Standard"/>
              <w:jc w:val="center"/>
            </w:pPr>
            <w:r>
              <w:t>1.</w:t>
            </w:r>
          </w:p>
        </w:tc>
        <w:tc>
          <w:tcPr>
            <w:tcW w:w="2133" w:type="dxa"/>
            <w:shd w:val="clear" w:color="auto" w:fill="auto"/>
            <w:tcMar>
              <w:left w:w="108" w:type="dxa"/>
            </w:tcMar>
          </w:tcPr>
          <w:p w:rsidR="0098786C" w:rsidRDefault="00A473E5">
            <w:pPr>
              <w:pStyle w:val="Standard"/>
            </w:pPr>
            <w:r>
              <w:rPr>
                <w:color w:val="000000"/>
              </w:rPr>
              <w:t xml:space="preserve">Wskaźnik </w:t>
            </w:r>
            <w:proofErr w:type="spellStart"/>
            <w:r>
              <w:rPr>
                <w:color w:val="000000"/>
              </w:rPr>
              <w:t>protrombinowy</w:t>
            </w:r>
            <w:proofErr w:type="spellEnd"/>
            <w:r>
              <w:rPr>
                <w:color w:val="000000"/>
              </w:rPr>
              <w:t xml:space="preserve"> PT</w:t>
            </w:r>
          </w:p>
        </w:tc>
        <w:tc>
          <w:tcPr>
            <w:tcW w:w="1796" w:type="dxa"/>
            <w:shd w:val="clear" w:color="auto" w:fill="auto"/>
            <w:tcMar>
              <w:left w:w="108" w:type="dxa"/>
            </w:tcMar>
          </w:tcPr>
          <w:p w:rsidR="0098786C" w:rsidRDefault="0098786C">
            <w:pPr>
              <w:pStyle w:val="Standard"/>
            </w:pPr>
          </w:p>
        </w:tc>
        <w:tc>
          <w:tcPr>
            <w:tcW w:w="3067" w:type="dxa"/>
            <w:shd w:val="clear" w:color="auto" w:fill="auto"/>
            <w:tcMar>
              <w:left w:w="108" w:type="dxa"/>
            </w:tcMar>
          </w:tcPr>
          <w:p w:rsidR="0098786C" w:rsidRDefault="0098786C">
            <w:pPr>
              <w:pStyle w:val="Standard"/>
            </w:pPr>
          </w:p>
        </w:tc>
        <w:tc>
          <w:tcPr>
            <w:tcW w:w="3087" w:type="dxa"/>
            <w:shd w:val="clear" w:color="auto" w:fill="auto"/>
            <w:tcMar>
              <w:left w:w="108" w:type="dxa"/>
            </w:tcMar>
          </w:tcPr>
          <w:p w:rsidR="0098786C" w:rsidRDefault="0098786C">
            <w:pPr>
              <w:pStyle w:val="Standard"/>
            </w:pPr>
          </w:p>
        </w:tc>
        <w:tc>
          <w:tcPr>
            <w:tcW w:w="3613" w:type="dxa"/>
            <w:shd w:val="clear" w:color="auto" w:fill="auto"/>
            <w:tcMar>
              <w:left w:w="108" w:type="dxa"/>
            </w:tcMar>
          </w:tcPr>
          <w:p w:rsidR="0098786C" w:rsidRDefault="0098786C">
            <w:pPr>
              <w:pStyle w:val="Standard"/>
            </w:pPr>
          </w:p>
        </w:tc>
      </w:tr>
      <w:tr w:rsidR="0098786C">
        <w:tc>
          <w:tcPr>
            <w:tcW w:w="523" w:type="dxa"/>
            <w:shd w:val="clear" w:color="auto" w:fill="auto"/>
            <w:tcMar>
              <w:left w:w="108" w:type="dxa"/>
            </w:tcMar>
            <w:vAlign w:val="center"/>
          </w:tcPr>
          <w:p w:rsidR="0098786C" w:rsidRDefault="00A473E5">
            <w:pPr>
              <w:pStyle w:val="Standard"/>
              <w:jc w:val="center"/>
            </w:pPr>
            <w:r>
              <w:t>2.</w:t>
            </w:r>
          </w:p>
        </w:tc>
        <w:tc>
          <w:tcPr>
            <w:tcW w:w="2133" w:type="dxa"/>
            <w:shd w:val="clear" w:color="auto" w:fill="auto"/>
            <w:tcMar>
              <w:left w:w="108" w:type="dxa"/>
            </w:tcMar>
            <w:vAlign w:val="center"/>
          </w:tcPr>
          <w:p w:rsidR="0098786C" w:rsidRDefault="00A473E5">
            <w:pPr>
              <w:pStyle w:val="Standard"/>
              <w:rPr>
                <w:color w:val="000000"/>
              </w:rPr>
            </w:pPr>
            <w:r>
              <w:rPr>
                <w:color w:val="000000"/>
              </w:rPr>
              <w:t>APTT</w:t>
            </w:r>
          </w:p>
        </w:tc>
        <w:tc>
          <w:tcPr>
            <w:tcW w:w="1796" w:type="dxa"/>
            <w:shd w:val="clear" w:color="auto" w:fill="auto"/>
            <w:tcMar>
              <w:left w:w="108" w:type="dxa"/>
            </w:tcMar>
          </w:tcPr>
          <w:p w:rsidR="0098786C" w:rsidRDefault="0098786C">
            <w:pPr>
              <w:pStyle w:val="Standard"/>
            </w:pPr>
          </w:p>
        </w:tc>
        <w:tc>
          <w:tcPr>
            <w:tcW w:w="3067" w:type="dxa"/>
            <w:shd w:val="clear" w:color="auto" w:fill="auto"/>
            <w:tcMar>
              <w:left w:w="108" w:type="dxa"/>
            </w:tcMar>
          </w:tcPr>
          <w:p w:rsidR="0098786C" w:rsidRDefault="0098786C">
            <w:pPr>
              <w:pStyle w:val="Standard"/>
            </w:pPr>
          </w:p>
        </w:tc>
        <w:tc>
          <w:tcPr>
            <w:tcW w:w="3087" w:type="dxa"/>
            <w:shd w:val="clear" w:color="auto" w:fill="auto"/>
            <w:tcMar>
              <w:left w:w="108" w:type="dxa"/>
            </w:tcMar>
          </w:tcPr>
          <w:p w:rsidR="0098786C" w:rsidRDefault="0098786C">
            <w:pPr>
              <w:pStyle w:val="Standard"/>
            </w:pPr>
          </w:p>
        </w:tc>
        <w:tc>
          <w:tcPr>
            <w:tcW w:w="3613" w:type="dxa"/>
            <w:shd w:val="clear" w:color="auto" w:fill="auto"/>
            <w:tcMar>
              <w:left w:w="108" w:type="dxa"/>
            </w:tcMar>
          </w:tcPr>
          <w:p w:rsidR="0098786C" w:rsidRDefault="0098786C">
            <w:pPr>
              <w:pStyle w:val="Standard"/>
            </w:pPr>
          </w:p>
        </w:tc>
      </w:tr>
      <w:tr w:rsidR="0098786C">
        <w:tc>
          <w:tcPr>
            <w:tcW w:w="523" w:type="dxa"/>
            <w:shd w:val="clear" w:color="auto" w:fill="auto"/>
            <w:tcMar>
              <w:left w:w="108" w:type="dxa"/>
            </w:tcMar>
            <w:vAlign w:val="center"/>
          </w:tcPr>
          <w:p w:rsidR="0098786C" w:rsidRDefault="00A473E5">
            <w:pPr>
              <w:pStyle w:val="Standard"/>
              <w:jc w:val="center"/>
            </w:pPr>
            <w:r>
              <w:t>3.</w:t>
            </w:r>
          </w:p>
        </w:tc>
        <w:tc>
          <w:tcPr>
            <w:tcW w:w="2133" w:type="dxa"/>
            <w:shd w:val="clear" w:color="auto" w:fill="auto"/>
            <w:tcMar>
              <w:left w:w="108" w:type="dxa"/>
            </w:tcMar>
            <w:vAlign w:val="center"/>
          </w:tcPr>
          <w:p w:rsidR="0098786C" w:rsidRDefault="00A473E5">
            <w:pPr>
              <w:pStyle w:val="Standard"/>
              <w:rPr>
                <w:color w:val="000000"/>
              </w:rPr>
            </w:pPr>
            <w:r>
              <w:rPr>
                <w:color w:val="000000"/>
              </w:rPr>
              <w:t>Fibrynogen metodą Clausa</w:t>
            </w:r>
          </w:p>
        </w:tc>
        <w:tc>
          <w:tcPr>
            <w:tcW w:w="1796" w:type="dxa"/>
            <w:shd w:val="clear" w:color="auto" w:fill="auto"/>
            <w:tcMar>
              <w:left w:w="108" w:type="dxa"/>
            </w:tcMar>
          </w:tcPr>
          <w:p w:rsidR="0098786C" w:rsidRDefault="0098786C">
            <w:pPr>
              <w:pStyle w:val="Standard"/>
            </w:pPr>
          </w:p>
        </w:tc>
        <w:tc>
          <w:tcPr>
            <w:tcW w:w="3067" w:type="dxa"/>
            <w:shd w:val="clear" w:color="auto" w:fill="auto"/>
            <w:tcMar>
              <w:left w:w="108" w:type="dxa"/>
            </w:tcMar>
          </w:tcPr>
          <w:p w:rsidR="0098786C" w:rsidRDefault="0098786C">
            <w:pPr>
              <w:pStyle w:val="Standard"/>
            </w:pPr>
          </w:p>
        </w:tc>
        <w:tc>
          <w:tcPr>
            <w:tcW w:w="3087" w:type="dxa"/>
            <w:shd w:val="clear" w:color="auto" w:fill="auto"/>
            <w:tcMar>
              <w:left w:w="108" w:type="dxa"/>
            </w:tcMar>
          </w:tcPr>
          <w:p w:rsidR="0098786C" w:rsidRDefault="0098786C">
            <w:pPr>
              <w:pStyle w:val="Standard"/>
            </w:pPr>
          </w:p>
        </w:tc>
        <w:tc>
          <w:tcPr>
            <w:tcW w:w="3613" w:type="dxa"/>
            <w:shd w:val="clear" w:color="auto" w:fill="auto"/>
            <w:tcMar>
              <w:left w:w="108" w:type="dxa"/>
            </w:tcMar>
          </w:tcPr>
          <w:p w:rsidR="0098786C" w:rsidRDefault="0098786C">
            <w:pPr>
              <w:pStyle w:val="Standard"/>
            </w:pPr>
          </w:p>
        </w:tc>
      </w:tr>
    </w:tbl>
    <w:p w:rsidR="0098786C" w:rsidRDefault="0098786C">
      <w:pPr>
        <w:pStyle w:val="Standard"/>
      </w:pPr>
    </w:p>
    <w:p w:rsidR="0098786C" w:rsidRDefault="0098786C">
      <w:pPr>
        <w:pStyle w:val="Standard"/>
      </w:pPr>
    </w:p>
    <w:p w:rsidR="0098786C" w:rsidRDefault="0098786C">
      <w:pPr>
        <w:pStyle w:val="Standard"/>
        <w:spacing w:line="276" w:lineRule="auto"/>
        <w:jc w:val="both"/>
        <w:rPr>
          <w:rFonts w:cs="Times New Roman"/>
        </w:rPr>
      </w:pPr>
    </w:p>
    <w:p w:rsidR="0098786C" w:rsidRDefault="0098786C">
      <w:pPr>
        <w:jc w:val="center"/>
        <w:rPr>
          <w:rFonts w:ascii="Verdana" w:hAnsi="Verdana" w:cs="Times New Roman"/>
          <w:b/>
          <w:sz w:val="18"/>
          <w:szCs w:val="18"/>
        </w:rPr>
      </w:pPr>
    </w:p>
    <w:p w:rsidR="0098786C" w:rsidRDefault="00A473E5">
      <w:pPr>
        <w:jc w:val="center"/>
        <w:rPr>
          <w:rFonts w:ascii="Times New Roman" w:hAnsi="Times New Roman" w:cs="Times New Roman"/>
          <w:b/>
          <w:sz w:val="28"/>
          <w:szCs w:val="28"/>
        </w:rPr>
      </w:pPr>
      <w:r>
        <w:rPr>
          <w:rFonts w:ascii="Times New Roman" w:hAnsi="Times New Roman" w:cs="Times New Roman"/>
          <w:b/>
          <w:sz w:val="28"/>
          <w:szCs w:val="28"/>
        </w:rPr>
        <w:t>Formularz cenowy – Część Nr 2</w:t>
      </w:r>
    </w:p>
    <w:tbl>
      <w:tblPr>
        <w:tblW w:w="1389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603"/>
        <w:gridCol w:w="2412"/>
        <w:gridCol w:w="2401"/>
        <w:gridCol w:w="2806"/>
        <w:gridCol w:w="2843"/>
        <w:gridCol w:w="2827"/>
      </w:tblGrid>
      <w:tr w:rsidR="0098786C">
        <w:tc>
          <w:tcPr>
            <w:tcW w:w="13891"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86C" w:rsidRDefault="0098786C">
            <w:pPr>
              <w:spacing w:after="0" w:line="240" w:lineRule="auto"/>
              <w:jc w:val="center"/>
              <w:rPr>
                <w:rFonts w:ascii="Times New Roman" w:hAnsi="Times New Roman" w:cs="Times New Roman"/>
                <w:b/>
              </w:rPr>
            </w:pPr>
          </w:p>
          <w:p w:rsidR="0098786C" w:rsidRDefault="00A473E5">
            <w:pPr>
              <w:spacing w:after="0" w:line="240" w:lineRule="auto"/>
              <w:jc w:val="center"/>
              <w:rPr>
                <w:rFonts w:ascii="Times New Roman" w:hAnsi="Times New Roman" w:cs="Times New Roman"/>
                <w:b/>
              </w:rPr>
            </w:pPr>
            <w:r>
              <w:rPr>
                <w:rFonts w:ascii="Times New Roman" w:hAnsi="Times New Roman" w:cs="Times New Roman"/>
                <w:b/>
              </w:rPr>
              <w:t>Dzierżawa analizatora</w:t>
            </w:r>
          </w:p>
          <w:p w:rsidR="0098786C" w:rsidRDefault="0098786C">
            <w:pPr>
              <w:spacing w:after="0" w:line="240" w:lineRule="auto"/>
              <w:jc w:val="center"/>
              <w:rPr>
                <w:rFonts w:ascii="Times New Roman" w:hAnsi="Times New Roman" w:cs="Times New Roman"/>
                <w:b/>
              </w:rPr>
            </w:pPr>
          </w:p>
        </w:tc>
      </w:tr>
      <w:tr w:rsidR="0098786C">
        <w:tc>
          <w:tcPr>
            <w:tcW w:w="6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786C" w:rsidRDefault="00A473E5">
            <w:pPr>
              <w:spacing w:after="0" w:line="240" w:lineRule="auto"/>
              <w:jc w:val="center"/>
              <w:rPr>
                <w:rFonts w:ascii="Times New Roman" w:hAnsi="Times New Roman" w:cs="Times New Roman"/>
              </w:rPr>
            </w:pPr>
            <w:r>
              <w:rPr>
                <w:rFonts w:ascii="Times New Roman" w:hAnsi="Times New Roman" w:cs="Times New Roman"/>
              </w:rPr>
              <w:t>L.p.</w:t>
            </w: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786C" w:rsidRDefault="00A473E5">
            <w:pPr>
              <w:spacing w:after="0" w:line="240" w:lineRule="auto"/>
              <w:jc w:val="center"/>
              <w:rPr>
                <w:rFonts w:ascii="Times New Roman" w:hAnsi="Times New Roman" w:cs="Times New Roman"/>
              </w:rPr>
            </w:pPr>
            <w:r>
              <w:rPr>
                <w:rFonts w:ascii="Times New Roman" w:hAnsi="Times New Roman" w:cs="Times New Roman"/>
              </w:rPr>
              <w:t>Nazwa</w:t>
            </w:r>
          </w:p>
        </w:tc>
        <w:tc>
          <w:tcPr>
            <w:tcW w:w="2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786C" w:rsidRDefault="00A473E5">
            <w:pPr>
              <w:spacing w:after="0" w:line="240" w:lineRule="auto"/>
              <w:jc w:val="center"/>
              <w:rPr>
                <w:rFonts w:ascii="Times New Roman" w:hAnsi="Times New Roman" w:cs="Times New Roman"/>
              </w:rPr>
            </w:pPr>
            <w:r>
              <w:rPr>
                <w:rFonts w:ascii="Times New Roman" w:hAnsi="Times New Roman" w:cs="Times New Roman"/>
              </w:rPr>
              <w:t>Cena netto za 1 m-c</w:t>
            </w: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786C" w:rsidRDefault="00A473E5">
            <w:pPr>
              <w:spacing w:after="0" w:line="240" w:lineRule="auto"/>
              <w:jc w:val="center"/>
              <w:rPr>
                <w:rFonts w:ascii="Times New Roman" w:hAnsi="Times New Roman" w:cs="Times New Roman"/>
              </w:rPr>
            </w:pPr>
            <w:r>
              <w:rPr>
                <w:rFonts w:ascii="Times New Roman" w:hAnsi="Times New Roman" w:cs="Times New Roman"/>
              </w:rPr>
              <w:t>Wartość netto za 34 m-ce</w:t>
            </w:r>
          </w:p>
        </w:tc>
        <w:tc>
          <w:tcPr>
            <w:tcW w:w="2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786C" w:rsidRDefault="00A473E5">
            <w:pPr>
              <w:spacing w:after="0" w:line="240" w:lineRule="auto"/>
              <w:jc w:val="center"/>
              <w:rPr>
                <w:rFonts w:ascii="Times New Roman" w:hAnsi="Times New Roman" w:cs="Times New Roman"/>
              </w:rPr>
            </w:pPr>
            <w:r>
              <w:rPr>
                <w:rFonts w:ascii="Times New Roman" w:hAnsi="Times New Roman" w:cs="Times New Roman"/>
              </w:rPr>
              <w:t>Stawka podatku VAT (%)</w:t>
            </w:r>
          </w:p>
        </w:tc>
        <w:tc>
          <w:tcPr>
            <w:tcW w:w="2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786C" w:rsidRDefault="00A473E5">
            <w:pPr>
              <w:spacing w:after="0" w:line="240" w:lineRule="auto"/>
              <w:jc w:val="center"/>
              <w:rPr>
                <w:rFonts w:ascii="Times New Roman" w:hAnsi="Times New Roman" w:cs="Times New Roman"/>
              </w:rPr>
            </w:pPr>
            <w:r>
              <w:rPr>
                <w:rFonts w:ascii="Times New Roman" w:hAnsi="Times New Roman" w:cs="Times New Roman"/>
              </w:rPr>
              <w:t>Wartość brutto za 34 m-ce</w:t>
            </w:r>
          </w:p>
        </w:tc>
      </w:tr>
      <w:tr w:rsidR="0098786C">
        <w:tc>
          <w:tcPr>
            <w:tcW w:w="6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86C" w:rsidRDefault="0098786C">
            <w:pPr>
              <w:spacing w:after="0" w:line="240" w:lineRule="auto"/>
              <w:jc w:val="center"/>
              <w:rPr>
                <w:rFonts w:ascii="Times New Roman" w:hAnsi="Times New Roman" w:cs="Times New Roman"/>
              </w:rPr>
            </w:pPr>
          </w:p>
          <w:p w:rsidR="0098786C" w:rsidRDefault="00A473E5">
            <w:pPr>
              <w:spacing w:after="0" w:line="240" w:lineRule="auto"/>
              <w:jc w:val="center"/>
              <w:rPr>
                <w:rFonts w:ascii="Times New Roman" w:hAnsi="Times New Roman" w:cs="Times New Roman"/>
              </w:rPr>
            </w:pPr>
            <w:r>
              <w:rPr>
                <w:rFonts w:ascii="Times New Roman" w:hAnsi="Times New Roman" w:cs="Times New Roman"/>
              </w:rPr>
              <w:t>1.</w:t>
            </w: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86C" w:rsidRDefault="0098786C">
            <w:pPr>
              <w:spacing w:after="0" w:line="240" w:lineRule="auto"/>
              <w:jc w:val="both"/>
              <w:rPr>
                <w:rFonts w:ascii="Times New Roman" w:hAnsi="Times New Roman" w:cs="Times New Roman"/>
                <w:b/>
              </w:rPr>
            </w:pPr>
          </w:p>
          <w:p w:rsidR="0098786C" w:rsidRDefault="00A473E5">
            <w:pPr>
              <w:spacing w:after="0" w:line="240" w:lineRule="auto"/>
              <w:jc w:val="both"/>
              <w:rPr>
                <w:rFonts w:ascii="Times New Roman" w:hAnsi="Times New Roman" w:cs="Times New Roman"/>
              </w:rPr>
            </w:pPr>
            <w:r>
              <w:rPr>
                <w:rFonts w:ascii="Times New Roman" w:hAnsi="Times New Roman" w:cs="Times New Roman"/>
              </w:rPr>
              <w:t>Opłata dzierżawna</w:t>
            </w:r>
          </w:p>
          <w:p w:rsidR="0098786C" w:rsidRDefault="0098786C">
            <w:pPr>
              <w:spacing w:after="0" w:line="240" w:lineRule="auto"/>
              <w:jc w:val="both"/>
              <w:rPr>
                <w:rFonts w:ascii="Times New Roman" w:hAnsi="Times New Roman" w:cs="Times New Roman"/>
                <w:b/>
              </w:rPr>
            </w:pPr>
          </w:p>
        </w:tc>
        <w:tc>
          <w:tcPr>
            <w:tcW w:w="2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86C" w:rsidRDefault="0098786C">
            <w:pPr>
              <w:spacing w:after="0" w:line="240" w:lineRule="auto"/>
              <w:jc w:val="both"/>
              <w:rPr>
                <w:rFonts w:ascii="Times New Roman" w:hAnsi="Times New Roman" w:cs="Times New Roman"/>
                <w:b/>
              </w:rPr>
            </w:pPr>
          </w:p>
        </w:tc>
        <w:tc>
          <w:tcPr>
            <w:tcW w:w="28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86C" w:rsidRDefault="0098786C">
            <w:pPr>
              <w:spacing w:after="0" w:line="240" w:lineRule="auto"/>
              <w:jc w:val="both"/>
              <w:rPr>
                <w:rFonts w:ascii="Times New Roman" w:hAnsi="Times New Roman" w:cs="Times New Roman"/>
                <w:b/>
              </w:rPr>
            </w:pPr>
          </w:p>
        </w:tc>
        <w:tc>
          <w:tcPr>
            <w:tcW w:w="2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86C" w:rsidRDefault="0098786C">
            <w:pPr>
              <w:spacing w:after="0" w:line="240" w:lineRule="auto"/>
              <w:jc w:val="both"/>
              <w:rPr>
                <w:rFonts w:ascii="Times New Roman" w:hAnsi="Times New Roman" w:cs="Times New Roman"/>
                <w:b/>
              </w:rPr>
            </w:pPr>
          </w:p>
        </w:tc>
        <w:tc>
          <w:tcPr>
            <w:tcW w:w="28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86C" w:rsidRDefault="0098786C">
            <w:pPr>
              <w:spacing w:after="0" w:line="240" w:lineRule="auto"/>
              <w:jc w:val="both"/>
              <w:rPr>
                <w:rFonts w:ascii="Times New Roman" w:hAnsi="Times New Roman" w:cs="Times New Roman"/>
                <w:b/>
              </w:rPr>
            </w:pPr>
          </w:p>
        </w:tc>
      </w:tr>
    </w:tbl>
    <w:p w:rsidR="0098786C" w:rsidRDefault="0098786C">
      <w:pPr>
        <w:jc w:val="both"/>
        <w:rPr>
          <w:rFonts w:ascii="Times New Roman" w:hAnsi="Times New Roman" w:cs="Times New Roman"/>
          <w:b/>
        </w:rPr>
      </w:pPr>
    </w:p>
    <w:p w:rsidR="001F13DD" w:rsidRDefault="001F13DD">
      <w:pPr>
        <w:jc w:val="center"/>
        <w:rPr>
          <w:rFonts w:ascii="Times New Roman" w:hAnsi="Times New Roman" w:cs="Times New Roman"/>
          <w:b/>
          <w:color w:val="000000"/>
          <w:sz w:val="28"/>
          <w:szCs w:val="28"/>
          <w:lang w:eastAsia="pl-PL"/>
        </w:rPr>
      </w:pPr>
    </w:p>
    <w:p w:rsidR="001F13DD" w:rsidRDefault="001F13DD">
      <w:pPr>
        <w:jc w:val="center"/>
        <w:rPr>
          <w:rFonts w:ascii="Times New Roman" w:hAnsi="Times New Roman" w:cs="Times New Roman"/>
          <w:b/>
          <w:color w:val="000000"/>
          <w:sz w:val="28"/>
          <w:szCs w:val="28"/>
          <w:lang w:eastAsia="pl-PL"/>
        </w:rPr>
      </w:pPr>
    </w:p>
    <w:p w:rsidR="0098786C" w:rsidRDefault="00A473E5">
      <w:pPr>
        <w:jc w:val="center"/>
        <w:rPr>
          <w:rFonts w:ascii="Times New Roman" w:hAnsi="Times New Roman" w:cs="Times New Roman"/>
          <w:b/>
          <w:color w:val="000000"/>
          <w:sz w:val="28"/>
          <w:szCs w:val="28"/>
          <w:lang w:eastAsia="pl-PL"/>
        </w:rPr>
      </w:pPr>
      <w:r>
        <w:rPr>
          <w:rFonts w:ascii="Times New Roman" w:hAnsi="Times New Roman" w:cs="Times New Roman"/>
          <w:b/>
          <w:color w:val="000000"/>
          <w:sz w:val="28"/>
          <w:szCs w:val="28"/>
          <w:lang w:eastAsia="pl-PL"/>
        </w:rPr>
        <w:t xml:space="preserve">Formularz cenowy zbiorczy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801"/>
        <w:gridCol w:w="5049"/>
        <w:gridCol w:w="2693"/>
        <w:gridCol w:w="2830"/>
        <w:gridCol w:w="2847"/>
      </w:tblGrid>
      <w:tr w:rsidR="0098786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786C" w:rsidRDefault="00A473E5">
            <w:pPr>
              <w:spacing w:after="0" w:line="240" w:lineRule="auto"/>
              <w:jc w:val="center"/>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L.p.</w:t>
            </w:r>
          </w:p>
        </w:tc>
        <w:tc>
          <w:tcPr>
            <w:tcW w:w="4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786C" w:rsidRDefault="00A473E5">
            <w:pPr>
              <w:spacing w:after="0" w:line="240" w:lineRule="auto"/>
              <w:jc w:val="center"/>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Nazwa</w:t>
            </w:r>
          </w:p>
        </w:tc>
        <w:tc>
          <w:tcPr>
            <w:tcW w:w="26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786C" w:rsidRDefault="00A473E5">
            <w:pPr>
              <w:spacing w:after="0" w:line="240" w:lineRule="auto"/>
              <w:jc w:val="center"/>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 xml:space="preserve">Łączna </w:t>
            </w:r>
          </w:p>
          <w:p w:rsidR="0098786C" w:rsidRDefault="00A473E5">
            <w:pPr>
              <w:spacing w:after="0" w:line="240" w:lineRule="auto"/>
              <w:jc w:val="center"/>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wartość netto</w:t>
            </w:r>
          </w:p>
        </w:tc>
        <w:tc>
          <w:tcPr>
            <w:tcW w:w="27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786C" w:rsidRDefault="00A473E5">
            <w:pPr>
              <w:spacing w:after="0" w:line="240" w:lineRule="auto"/>
              <w:jc w:val="center"/>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VAT (%)</w:t>
            </w:r>
          </w:p>
        </w:tc>
        <w:tc>
          <w:tcPr>
            <w:tcW w:w="2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786C" w:rsidRDefault="00A473E5">
            <w:pPr>
              <w:spacing w:after="0" w:line="240" w:lineRule="auto"/>
              <w:jc w:val="center"/>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 xml:space="preserve">Łączna </w:t>
            </w:r>
          </w:p>
          <w:p w:rsidR="0098786C" w:rsidRDefault="00A473E5">
            <w:pPr>
              <w:spacing w:after="0" w:line="240" w:lineRule="auto"/>
              <w:jc w:val="center"/>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wartość brutto</w:t>
            </w:r>
          </w:p>
        </w:tc>
      </w:tr>
      <w:tr w:rsidR="0098786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786C" w:rsidRDefault="00A473E5">
            <w:pPr>
              <w:spacing w:after="0" w:line="240" w:lineRule="auto"/>
              <w:jc w:val="center"/>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1</w:t>
            </w:r>
          </w:p>
        </w:tc>
        <w:tc>
          <w:tcPr>
            <w:tcW w:w="4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786C" w:rsidRDefault="00A473E5">
            <w:pPr>
              <w:spacing w:after="0" w:line="240" w:lineRule="auto"/>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Odczynniki i materiały zużywalne do badań (część 1)</w:t>
            </w:r>
          </w:p>
        </w:tc>
        <w:tc>
          <w:tcPr>
            <w:tcW w:w="26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86C" w:rsidRDefault="0098786C">
            <w:pPr>
              <w:spacing w:after="0" w:line="240" w:lineRule="auto"/>
              <w:rPr>
                <w:rFonts w:ascii="Times New Roman" w:hAnsi="Times New Roman" w:cs="Times New Roman"/>
                <w:color w:val="000000"/>
                <w:sz w:val="28"/>
                <w:szCs w:val="28"/>
                <w:lang w:eastAsia="pl-PL"/>
              </w:rPr>
            </w:pPr>
          </w:p>
        </w:tc>
        <w:tc>
          <w:tcPr>
            <w:tcW w:w="27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86C" w:rsidRDefault="0098786C">
            <w:pPr>
              <w:spacing w:after="0" w:line="240" w:lineRule="auto"/>
              <w:rPr>
                <w:rFonts w:ascii="Times New Roman" w:hAnsi="Times New Roman" w:cs="Times New Roman"/>
                <w:color w:val="000000"/>
                <w:sz w:val="28"/>
                <w:szCs w:val="28"/>
                <w:lang w:eastAsia="pl-PL"/>
              </w:rPr>
            </w:pPr>
          </w:p>
        </w:tc>
        <w:tc>
          <w:tcPr>
            <w:tcW w:w="2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86C" w:rsidRDefault="0098786C">
            <w:pPr>
              <w:spacing w:after="0" w:line="240" w:lineRule="auto"/>
              <w:rPr>
                <w:rFonts w:ascii="Times New Roman" w:hAnsi="Times New Roman" w:cs="Times New Roman"/>
                <w:color w:val="000000"/>
                <w:sz w:val="28"/>
                <w:szCs w:val="28"/>
                <w:lang w:eastAsia="pl-PL"/>
              </w:rPr>
            </w:pPr>
          </w:p>
        </w:tc>
      </w:tr>
      <w:tr w:rsidR="0098786C">
        <w:tc>
          <w:tcPr>
            <w:tcW w:w="7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786C" w:rsidRDefault="00A473E5">
            <w:pPr>
              <w:spacing w:after="0" w:line="240" w:lineRule="auto"/>
              <w:jc w:val="center"/>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2</w:t>
            </w:r>
          </w:p>
        </w:tc>
        <w:tc>
          <w:tcPr>
            <w:tcW w:w="49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786C" w:rsidRDefault="00A473E5">
            <w:pPr>
              <w:spacing w:after="0" w:line="240" w:lineRule="auto"/>
              <w:rPr>
                <w:rFonts w:ascii="Times New Roman" w:hAnsi="Times New Roman" w:cs="Times New Roman"/>
                <w:color w:val="000000"/>
                <w:sz w:val="28"/>
                <w:szCs w:val="28"/>
                <w:lang w:eastAsia="pl-PL"/>
              </w:rPr>
            </w:pPr>
            <w:r>
              <w:rPr>
                <w:rFonts w:ascii="Times New Roman" w:hAnsi="Times New Roman" w:cs="Times New Roman"/>
                <w:color w:val="000000"/>
                <w:sz w:val="28"/>
                <w:szCs w:val="28"/>
                <w:lang w:eastAsia="pl-PL"/>
              </w:rPr>
              <w:t>Dzierżawa analizatora (część 2)</w:t>
            </w:r>
          </w:p>
        </w:tc>
        <w:tc>
          <w:tcPr>
            <w:tcW w:w="26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86C" w:rsidRDefault="0098786C">
            <w:pPr>
              <w:spacing w:after="0" w:line="240" w:lineRule="auto"/>
              <w:rPr>
                <w:rFonts w:ascii="Times New Roman" w:hAnsi="Times New Roman" w:cs="Times New Roman"/>
                <w:color w:val="000000"/>
                <w:sz w:val="28"/>
                <w:szCs w:val="28"/>
                <w:lang w:eastAsia="pl-PL"/>
              </w:rPr>
            </w:pPr>
          </w:p>
        </w:tc>
        <w:tc>
          <w:tcPr>
            <w:tcW w:w="27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86C" w:rsidRDefault="0098786C">
            <w:pPr>
              <w:spacing w:after="0" w:line="240" w:lineRule="auto"/>
              <w:rPr>
                <w:rFonts w:ascii="Times New Roman" w:hAnsi="Times New Roman" w:cs="Times New Roman"/>
                <w:color w:val="000000"/>
                <w:sz w:val="28"/>
                <w:szCs w:val="28"/>
                <w:lang w:eastAsia="pl-PL"/>
              </w:rPr>
            </w:pPr>
          </w:p>
        </w:tc>
        <w:tc>
          <w:tcPr>
            <w:tcW w:w="2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8786C" w:rsidRDefault="0098786C">
            <w:pPr>
              <w:spacing w:after="0" w:line="240" w:lineRule="auto"/>
              <w:rPr>
                <w:rFonts w:ascii="Times New Roman" w:hAnsi="Times New Roman" w:cs="Times New Roman"/>
                <w:color w:val="000000"/>
                <w:sz w:val="28"/>
                <w:szCs w:val="28"/>
                <w:lang w:eastAsia="pl-PL"/>
              </w:rPr>
            </w:pPr>
          </w:p>
        </w:tc>
      </w:tr>
    </w:tbl>
    <w:p w:rsidR="0098786C" w:rsidRDefault="0098786C">
      <w:pPr>
        <w:jc w:val="both"/>
        <w:rPr>
          <w:rFonts w:ascii="Times New Roman" w:hAnsi="Times New Roman" w:cs="Times New Roman"/>
          <w:b/>
        </w:rPr>
      </w:pPr>
    </w:p>
    <w:p w:rsidR="0098786C" w:rsidRDefault="00A473E5">
      <w:pPr>
        <w:rPr>
          <w:rFonts w:ascii="Times New Roman" w:hAnsi="Times New Roman" w:cs="Times New Roman"/>
        </w:rPr>
      </w:pPr>
      <w:r>
        <w:rPr>
          <w:rFonts w:ascii="Times New Roman" w:hAnsi="Times New Roman" w:cs="Times New Roman"/>
        </w:rPr>
        <w:t>…………………….………………, dnia …………………… 2020 r.</w:t>
      </w:r>
    </w:p>
    <w:p w:rsidR="0098786C" w:rsidRDefault="00A473E5">
      <w:pPr>
        <w:widowControl w:val="0"/>
        <w:spacing w:after="0"/>
        <w:ind w:firstLine="708"/>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98786C" w:rsidRPr="001F13DD" w:rsidRDefault="00A473E5" w:rsidP="001F13D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pieczęć i po</w:t>
      </w:r>
      <w:r w:rsidR="001F13DD">
        <w:rPr>
          <w:rFonts w:ascii="Times New Roman" w:hAnsi="Times New Roman" w:cs="Times New Roman"/>
        </w:rPr>
        <w:t>dpis upoważnionego</w:t>
      </w:r>
      <w:r w:rsidR="001F13DD">
        <w:rPr>
          <w:rFonts w:ascii="Times New Roman" w:hAnsi="Times New Roman" w:cs="Times New Roman"/>
        </w:rPr>
        <w:br/>
        <w:t xml:space="preserve">   </w:t>
      </w:r>
      <w:r w:rsidR="001F13DD">
        <w:rPr>
          <w:rFonts w:ascii="Times New Roman" w:hAnsi="Times New Roman" w:cs="Times New Roman"/>
        </w:rPr>
        <w:tab/>
      </w:r>
      <w:r w:rsidR="001F13DD">
        <w:rPr>
          <w:rFonts w:ascii="Times New Roman" w:hAnsi="Times New Roman" w:cs="Times New Roman"/>
        </w:rPr>
        <w:tab/>
      </w:r>
      <w:r w:rsidR="001F13DD">
        <w:rPr>
          <w:rFonts w:ascii="Times New Roman" w:hAnsi="Times New Roman" w:cs="Times New Roman"/>
        </w:rPr>
        <w:tab/>
      </w:r>
      <w:r w:rsidR="001F13DD">
        <w:rPr>
          <w:rFonts w:ascii="Times New Roman" w:hAnsi="Times New Roman" w:cs="Times New Roman"/>
        </w:rPr>
        <w:tab/>
      </w:r>
      <w:r w:rsidR="001F13DD">
        <w:rPr>
          <w:rFonts w:ascii="Times New Roman" w:hAnsi="Times New Roman" w:cs="Times New Roman"/>
        </w:rPr>
        <w:tab/>
      </w:r>
      <w:r w:rsidR="001F13DD">
        <w:rPr>
          <w:rFonts w:ascii="Times New Roman" w:hAnsi="Times New Roman" w:cs="Times New Roman"/>
        </w:rPr>
        <w:tab/>
      </w:r>
      <w:r w:rsidR="001F13DD">
        <w:rPr>
          <w:rFonts w:ascii="Times New Roman" w:hAnsi="Times New Roman" w:cs="Times New Roman"/>
        </w:rPr>
        <w:tab/>
      </w:r>
      <w:r w:rsidR="001F13DD">
        <w:rPr>
          <w:rFonts w:ascii="Times New Roman" w:hAnsi="Times New Roman" w:cs="Times New Roman"/>
        </w:rPr>
        <w:tab/>
      </w:r>
      <w:r w:rsidR="001F13DD">
        <w:rPr>
          <w:rFonts w:ascii="Times New Roman" w:hAnsi="Times New Roman" w:cs="Times New Roman"/>
        </w:rPr>
        <w:tab/>
      </w:r>
    </w:p>
    <w:sectPr w:rsidR="0098786C" w:rsidRPr="001F13DD" w:rsidSect="0098786C">
      <w:pgSz w:w="16838" w:h="11906" w:orient="landscape"/>
      <w:pgMar w:top="1417" w:right="1417" w:bottom="1417" w:left="1417" w:header="0" w:footer="0" w:gutter="0"/>
      <w:cols w:space="708"/>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Liberation Sans">
    <w:altName w:val="Arial"/>
    <w:charset w:val="EE"/>
    <w:family w:val="swiss"/>
    <w:pitch w:val="variable"/>
    <w:sig w:usb0="00000000" w:usb1="00000000" w:usb2="00000000" w:usb3="00000000" w:csb0="00000000" w:csb1="00000000"/>
  </w:font>
  <w:font w:name="Microsoft YaHei">
    <w:charset w:val="EE"/>
    <w:family w:val="auto"/>
    <w:pitch w:val="variable"/>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71E3"/>
    <w:multiLevelType w:val="multilevel"/>
    <w:tmpl w:val="BCA230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9176187"/>
    <w:multiLevelType w:val="multilevel"/>
    <w:tmpl w:val="1602B8A2"/>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7981BE5"/>
    <w:multiLevelType w:val="multilevel"/>
    <w:tmpl w:val="A59614A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9"/>
  <w:hyphenationZone w:val="425"/>
  <w:characterSpacingControl w:val="doNotCompress"/>
  <w:compat>
    <w:useFELayout/>
  </w:compat>
  <w:rsids>
    <w:rsidRoot w:val="0098786C"/>
    <w:rsid w:val="000B10EA"/>
    <w:rsid w:val="001F13DD"/>
    <w:rsid w:val="0098786C"/>
    <w:rsid w:val="00A473E5"/>
    <w:rsid w:val="00C70793"/>
    <w:rsid w:val="00D41E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283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semiHidden/>
    <w:qFormat/>
    <w:rsid w:val="0000085C"/>
  </w:style>
  <w:style w:type="character" w:customStyle="1" w:styleId="StopkaZnak">
    <w:name w:val="Stopka Znak"/>
    <w:basedOn w:val="Domylnaczcionkaakapitu"/>
    <w:link w:val="Footer"/>
    <w:uiPriority w:val="99"/>
    <w:semiHidden/>
    <w:qFormat/>
    <w:rsid w:val="0000085C"/>
  </w:style>
  <w:style w:type="character" w:customStyle="1" w:styleId="ListLabel1">
    <w:name w:val="ListLabel 1"/>
    <w:qFormat/>
    <w:rsid w:val="0098786C"/>
    <w:rPr>
      <w:color w:val="000000"/>
    </w:rPr>
  </w:style>
  <w:style w:type="paragraph" w:styleId="Nagwek">
    <w:name w:val="header"/>
    <w:basedOn w:val="Normalny"/>
    <w:next w:val="Tekstpodstawowy"/>
    <w:link w:val="NagwekZnak"/>
    <w:qFormat/>
    <w:rsid w:val="0098786C"/>
    <w:pPr>
      <w:keepNext/>
      <w:spacing w:before="240" w:after="120"/>
    </w:pPr>
    <w:rPr>
      <w:rFonts w:ascii="Liberation Sans" w:eastAsia="Microsoft YaHei" w:hAnsi="Liberation Sans"/>
      <w:sz w:val="28"/>
      <w:szCs w:val="28"/>
    </w:rPr>
  </w:style>
  <w:style w:type="paragraph" w:styleId="Tekstpodstawowy">
    <w:name w:val="Body Text"/>
    <w:basedOn w:val="Normalny"/>
    <w:rsid w:val="0098786C"/>
    <w:pPr>
      <w:spacing w:after="140" w:line="288" w:lineRule="auto"/>
    </w:pPr>
  </w:style>
  <w:style w:type="paragraph" w:styleId="Lista">
    <w:name w:val="List"/>
    <w:basedOn w:val="Tekstpodstawowy"/>
    <w:rsid w:val="0098786C"/>
  </w:style>
  <w:style w:type="paragraph" w:customStyle="1" w:styleId="Caption">
    <w:name w:val="Caption"/>
    <w:basedOn w:val="Normalny"/>
    <w:qFormat/>
    <w:rsid w:val="0098786C"/>
    <w:pPr>
      <w:suppressLineNumbers/>
      <w:spacing w:before="120" w:after="120"/>
    </w:pPr>
    <w:rPr>
      <w:i/>
      <w:iCs/>
    </w:rPr>
  </w:style>
  <w:style w:type="paragraph" w:customStyle="1" w:styleId="Indeks">
    <w:name w:val="Indeks"/>
    <w:basedOn w:val="Normalny"/>
    <w:qFormat/>
    <w:rsid w:val="0098786C"/>
    <w:pPr>
      <w:suppressLineNumbers/>
    </w:pPr>
  </w:style>
  <w:style w:type="paragraph" w:styleId="NormalnyWeb">
    <w:name w:val="Normal (Web)"/>
    <w:basedOn w:val="Normalny"/>
    <w:uiPriority w:val="99"/>
    <w:unhideWhenUsed/>
    <w:qFormat/>
    <w:rsid w:val="009672FD"/>
    <w:pPr>
      <w:spacing w:beforeAutospacing="1" w:after="142" w:line="288" w:lineRule="auto"/>
    </w:pPr>
    <w:rPr>
      <w:rFonts w:ascii="Times New Roman" w:eastAsia="Times New Roman" w:hAnsi="Times New Roman" w:cs="Times New Roman"/>
      <w:lang w:eastAsia="pl-PL"/>
    </w:rPr>
  </w:style>
  <w:style w:type="paragraph" w:styleId="Akapitzlist">
    <w:name w:val="List Paragraph"/>
    <w:basedOn w:val="Normalny"/>
    <w:uiPriority w:val="99"/>
    <w:qFormat/>
    <w:rsid w:val="009672FD"/>
    <w:pPr>
      <w:ind w:left="720"/>
      <w:contextualSpacing/>
    </w:pPr>
    <w:rPr>
      <w:rFonts w:ascii="Calibri" w:eastAsia="Calibri" w:hAnsi="Calibri" w:cs="Calibri"/>
    </w:rPr>
  </w:style>
  <w:style w:type="paragraph" w:customStyle="1" w:styleId="Header">
    <w:name w:val="Header"/>
    <w:basedOn w:val="Normalny"/>
    <w:link w:val="NagwekZnak"/>
    <w:uiPriority w:val="99"/>
    <w:semiHidden/>
    <w:unhideWhenUsed/>
    <w:rsid w:val="0000085C"/>
    <w:pPr>
      <w:tabs>
        <w:tab w:val="center" w:pos="4536"/>
        <w:tab w:val="right" w:pos="9072"/>
      </w:tabs>
      <w:spacing w:after="0" w:line="240" w:lineRule="auto"/>
    </w:pPr>
  </w:style>
  <w:style w:type="paragraph" w:customStyle="1" w:styleId="Footer">
    <w:name w:val="Footer"/>
    <w:basedOn w:val="Normalny"/>
    <w:link w:val="StopkaZnak"/>
    <w:uiPriority w:val="99"/>
    <w:semiHidden/>
    <w:unhideWhenUsed/>
    <w:rsid w:val="0000085C"/>
    <w:pPr>
      <w:tabs>
        <w:tab w:val="center" w:pos="4536"/>
        <w:tab w:val="right" w:pos="9072"/>
      </w:tabs>
      <w:spacing w:after="0" w:line="240" w:lineRule="auto"/>
    </w:pPr>
  </w:style>
  <w:style w:type="paragraph" w:customStyle="1" w:styleId="Standard">
    <w:name w:val="Standard"/>
    <w:qFormat/>
    <w:rsid w:val="00957359"/>
    <w:pPr>
      <w:widowControl w:val="0"/>
      <w:suppressAutoHyphens/>
      <w:textAlignment w:val="baseline"/>
    </w:pPr>
    <w:rPr>
      <w:rFonts w:ascii="Times New Roman" w:hAnsi="Times New Roman" w:cs="Lucida Sans"/>
    </w:rPr>
  </w:style>
  <w:style w:type="table" w:styleId="Tabela-Siatka">
    <w:name w:val="Table Grid"/>
    <w:basedOn w:val="Standardowy"/>
    <w:uiPriority w:val="59"/>
    <w:rsid w:val="00B173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F0591-DA96-45DF-9881-477391FC6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1289</Words>
  <Characters>7734</Characters>
  <Application>Microsoft Office Word</Application>
  <DocSecurity>0</DocSecurity>
  <Lines>64</Lines>
  <Paragraphs>18</Paragraphs>
  <ScaleCrop>false</ScaleCrop>
  <Company/>
  <LinksUpToDate>false</LinksUpToDate>
  <CharactersWithSpaces>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magda.dziechciarz</dc:creator>
  <dc:description/>
  <cp:lastModifiedBy>magda.dziechciarz</cp:lastModifiedBy>
  <cp:revision>4</cp:revision>
  <cp:lastPrinted>2020-05-14T08:18:00Z</cp:lastPrinted>
  <dcterms:created xsi:type="dcterms:W3CDTF">2020-05-12T06:58:00Z</dcterms:created>
  <dcterms:modified xsi:type="dcterms:W3CDTF">2020-05-14T08:18:00Z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