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2E" w:rsidRDefault="0022002E" w:rsidP="007B7ECC">
      <w:pPr>
        <w:ind w:right="-30"/>
        <w:jc w:val="right"/>
        <w:rPr>
          <w:rFonts w:ascii="Tahoma" w:hAnsi="Tahoma" w:cs="Tahoma"/>
          <w:b/>
          <w:bCs/>
          <w:color w:val="000000"/>
        </w:rPr>
      </w:pPr>
      <w:r>
        <w:rPr>
          <w:rFonts w:ascii="Tahoma" w:hAnsi="Tahoma" w:cs="Tahoma"/>
          <w:b/>
          <w:bCs/>
          <w:color w:val="000000"/>
        </w:rPr>
        <w:t>SP ZOZ/DZ/10/2021</w:t>
      </w:r>
    </w:p>
    <w:p w:rsidR="007B7ECC" w:rsidRPr="0022002E" w:rsidRDefault="007B7ECC" w:rsidP="007B7ECC">
      <w:pPr>
        <w:ind w:right="-30"/>
        <w:jc w:val="right"/>
        <w:rPr>
          <w:rFonts w:ascii="Tahoma" w:hAnsi="Tahoma" w:cs="Tahoma"/>
          <w:b/>
          <w:bCs/>
          <w:color w:val="000000"/>
        </w:rPr>
      </w:pPr>
      <w:r w:rsidRPr="0022002E">
        <w:rPr>
          <w:rFonts w:ascii="Tahoma" w:hAnsi="Tahoma" w:cs="Tahoma"/>
          <w:b/>
          <w:bCs/>
          <w:color w:val="000000"/>
        </w:rPr>
        <w:t xml:space="preserve">Załącznik Nr </w:t>
      </w:r>
      <w:r w:rsidR="003E386C">
        <w:rPr>
          <w:rFonts w:ascii="Tahoma" w:hAnsi="Tahoma" w:cs="Tahoma"/>
          <w:b/>
          <w:bCs/>
          <w:color w:val="000000"/>
        </w:rPr>
        <w:t>2</w:t>
      </w:r>
      <w:r w:rsidRPr="0022002E">
        <w:rPr>
          <w:rFonts w:ascii="Tahoma" w:hAnsi="Tahoma" w:cs="Tahoma"/>
          <w:b/>
          <w:bCs/>
          <w:color w:val="000000"/>
        </w:rPr>
        <w:t xml:space="preserve"> do zapytania </w:t>
      </w:r>
    </w:p>
    <w:p w:rsidR="0022002E" w:rsidRDefault="0022002E" w:rsidP="0022002E">
      <w:pPr>
        <w:ind w:right="-1368"/>
        <w:jc w:val="center"/>
        <w:rPr>
          <w:rFonts w:ascii="Tahoma" w:hAnsi="Tahoma" w:cs="Tahoma"/>
          <w:b/>
          <w:bCs/>
          <w:color w:val="000000"/>
        </w:rPr>
      </w:pPr>
    </w:p>
    <w:p w:rsidR="00FA45B5" w:rsidRPr="0022002E" w:rsidRDefault="00706C99" w:rsidP="0022002E">
      <w:pPr>
        <w:ind w:right="-1368"/>
        <w:jc w:val="center"/>
      </w:pPr>
      <w:r w:rsidRPr="0022002E">
        <w:rPr>
          <w:rFonts w:ascii="Tahoma" w:hAnsi="Tahoma" w:cs="Tahoma"/>
          <w:b/>
          <w:bCs/>
          <w:color w:val="000000"/>
        </w:rPr>
        <w:t>DOSTAWA PASKÓW DO ANALIZY MOCZU WRAZ Z DZIERŻAWĄ CZYTNIKA TESTÓW PASKOWYCH</w:t>
      </w:r>
    </w:p>
    <w:p w:rsidR="00FA45B5" w:rsidRDefault="00FA45B5">
      <w:pPr>
        <w:ind w:right="-1368"/>
        <w:rPr>
          <w:b/>
          <w:bCs/>
          <w:color w:val="000000"/>
        </w:rPr>
      </w:pPr>
    </w:p>
    <w:tbl>
      <w:tblPr>
        <w:tblW w:w="8400" w:type="dxa"/>
        <w:tblInd w:w="-3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tblPr>
      <w:tblGrid>
        <w:gridCol w:w="2499"/>
        <w:gridCol w:w="5901"/>
      </w:tblGrid>
      <w:tr w:rsidR="00FA45B5">
        <w:tc>
          <w:tcPr>
            <w:tcW w:w="24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FA45B5" w:rsidRDefault="00FA45B5">
            <w:pPr>
              <w:spacing w:line="276" w:lineRule="auto"/>
              <w:rPr>
                <w:rFonts w:cs="Tahoma"/>
                <w:b/>
                <w:i/>
                <w:color w:val="FF0000"/>
                <w:sz w:val="24"/>
                <w:szCs w:val="24"/>
              </w:rPr>
            </w:pPr>
          </w:p>
        </w:tc>
        <w:tc>
          <w:tcPr>
            <w:tcW w:w="590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FA45B5" w:rsidRDefault="00706C99">
            <w:pPr>
              <w:spacing w:line="276" w:lineRule="auto"/>
              <w:jc w:val="center"/>
              <w:rPr>
                <w:rFonts w:ascii="Tahoma" w:hAnsi="Tahoma" w:cs="Tahoma"/>
                <w:b/>
              </w:rPr>
            </w:pPr>
            <w:r>
              <w:rPr>
                <w:rFonts w:cs="Tahoma"/>
                <w:b/>
                <w:sz w:val="24"/>
                <w:szCs w:val="24"/>
              </w:rPr>
              <w:t>Czytnik</w:t>
            </w:r>
          </w:p>
        </w:tc>
      </w:tr>
      <w:tr w:rsidR="00FA45B5">
        <w:tc>
          <w:tcPr>
            <w:tcW w:w="24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FA45B5" w:rsidRDefault="00FA45B5">
            <w:pPr>
              <w:spacing w:line="276" w:lineRule="auto"/>
              <w:rPr>
                <w:rFonts w:cs="Tahoma"/>
                <w:b/>
                <w:i/>
                <w:color w:val="FF0000"/>
                <w:sz w:val="24"/>
                <w:szCs w:val="24"/>
              </w:rPr>
            </w:pPr>
          </w:p>
        </w:tc>
        <w:tc>
          <w:tcPr>
            <w:tcW w:w="590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FA45B5" w:rsidRDefault="00706C99">
            <w:pPr>
              <w:spacing w:line="276" w:lineRule="auto"/>
              <w:jc w:val="center"/>
              <w:rPr>
                <w:rFonts w:ascii="Tahoma" w:hAnsi="Tahoma" w:cs="Tahoma"/>
              </w:rPr>
            </w:pPr>
            <w:r>
              <w:rPr>
                <w:rFonts w:cs="Tahoma"/>
                <w:sz w:val="24"/>
                <w:szCs w:val="24"/>
              </w:rPr>
              <w:t>Dane czytnika</w:t>
            </w:r>
          </w:p>
        </w:tc>
      </w:tr>
      <w:tr w:rsidR="00FA45B5">
        <w:tc>
          <w:tcPr>
            <w:tcW w:w="24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FA45B5" w:rsidRDefault="00706C99">
            <w:pPr>
              <w:spacing w:line="276" w:lineRule="auto"/>
              <w:rPr>
                <w:rFonts w:ascii="Tahoma" w:hAnsi="Tahoma" w:cs="Tahoma"/>
              </w:rPr>
            </w:pPr>
            <w:r>
              <w:rPr>
                <w:rFonts w:cs="Tahoma"/>
                <w:sz w:val="24"/>
                <w:szCs w:val="24"/>
              </w:rPr>
              <w:t>Nazwa i typ</w:t>
            </w:r>
          </w:p>
        </w:tc>
        <w:tc>
          <w:tcPr>
            <w:tcW w:w="590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FA45B5" w:rsidRDefault="00FA45B5">
            <w:pPr>
              <w:spacing w:line="276" w:lineRule="auto"/>
              <w:rPr>
                <w:rFonts w:cs="Tahoma"/>
                <w:color w:val="FF0000"/>
                <w:sz w:val="24"/>
                <w:szCs w:val="24"/>
              </w:rPr>
            </w:pPr>
          </w:p>
        </w:tc>
      </w:tr>
      <w:tr w:rsidR="00FA45B5">
        <w:tc>
          <w:tcPr>
            <w:tcW w:w="24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FA45B5" w:rsidRDefault="00706C99">
            <w:pPr>
              <w:spacing w:line="276" w:lineRule="auto"/>
              <w:rPr>
                <w:rFonts w:ascii="Tahoma" w:hAnsi="Tahoma" w:cs="Tahoma"/>
              </w:rPr>
            </w:pPr>
            <w:r>
              <w:rPr>
                <w:rFonts w:cs="Tahoma"/>
                <w:sz w:val="24"/>
                <w:szCs w:val="24"/>
              </w:rPr>
              <w:t xml:space="preserve">Producent </w:t>
            </w:r>
          </w:p>
        </w:tc>
        <w:tc>
          <w:tcPr>
            <w:tcW w:w="590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FA45B5" w:rsidRDefault="00FA45B5">
            <w:pPr>
              <w:spacing w:line="276" w:lineRule="auto"/>
              <w:rPr>
                <w:rFonts w:cs="Tahoma"/>
                <w:color w:val="FF0000"/>
                <w:sz w:val="24"/>
                <w:szCs w:val="24"/>
              </w:rPr>
            </w:pPr>
          </w:p>
        </w:tc>
      </w:tr>
      <w:tr w:rsidR="00FA45B5">
        <w:tc>
          <w:tcPr>
            <w:tcW w:w="24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FA45B5" w:rsidRDefault="00706C99">
            <w:pPr>
              <w:spacing w:line="276" w:lineRule="auto"/>
              <w:rPr>
                <w:rFonts w:ascii="Tahoma" w:hAnsi="Tahoma" w:cs="Tahoma"/>
              </w:rPr>
            </w:pPr>
            <w:r>
              <w:rPr>
                <w:rFonts w:cs="Tahoma"/>
                <w:sz w:val="24"/>
                <w:szCs w:val="24"/>
              </w:rPr>
              <w:t>Kraj producenta</w:t>
            </w:r>
          </w:p>
        </w:tc>
        <w:tc>
          <w:tcPr>
            <w:tcW w:w="590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FA45B5" w:rsidRDefault="00FA45B5">
            <w:pPr>
              <w:spacing w:line="276" w:lineRule="auto"/>
              <w:rPr>
                <w:rFonts w:cs="Tahoma"/>
                <w:color w:val="FF0000"/>
                <w:sz w:val="24"/>
                <w:szCs w:val="24"/>
              </w:rPr>
            </w:pPr>
          </w:p>
        </w:tc>
      </w:tr>
      <w:tr w:rsidR="00FA45B5">
        <w:tc>
          <w:tcPr>
            <w:tcW w:w="249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FA45B5" w:rsidRDefault="00706C99">
            <w:pPr>
              <w:spacing w:line="276" w:lineRule="auto"/>
              <w:rPr>
                <w:rFonts w:ascii="Tahoma" w:hAnsi="Tahoma" w:cs="Tahoma"/>
              </w:rPr>
            </w:pPr>
            <w:r>
              <w:rPr>
                <w:rFonts w:cs="Tahoma"/>
                <w:sz w:val="24"/>
                <w:szCs w:val="24"/>
              </w:rPr>
              <w:t>Rok produkcji</w:t>
            </w:r>
          </w:p>
        </w:tc>
        <w:tc>
          <w:tcPr>
            <w:tcW w:w="590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FA45B5" w:rsidRDefault="00FA45B5">
            <w:pPr>
              <w:spacing w:line="276" w:lineRule="auto"/>
              <w:rPr>
                <w:rFonts w:cs="Tahoma"/>
                <w:color w:val="FF0000"/>
                <w:sz w:val="24"/>
                <w:szCs w:val="24"/>
              </w:rPr>
            </w:pPr>
          </w:p>
        </w:tc>
      </w:tr>
    </w:tbl>
    <w:p w:rsidR="00FA45B5" w:rsidRDefault="00FA45B5">
      <w:pPr>
        <w:rPr>
          <w:b/>
          <w:color w:val="FF0000"/>
        </w:rPr>
      </w:pPr>
    </w:p>
    <w:tbl>
      <w:tblPr>
        <w:tblStyle w:val="Tabela-Siatka"/>
        <w:tblW w:w="15300" w:type="dxa"/>
        <w:tblInd w:w="-440" w:type="dxa"/>
        <w:tblCellMar>
          <w:left w:w="73" w:type="dxa"/>
        </w:tblCellMar>
        <w:tblLook w:val="01E0"/>
      </w:tblPr>
      <w:tblGrid>
        <w:gridCol w:w="2851"/>
        <w:gridCol w:w="2333"/>
        <w:gridCol w:w="2269"/>
        <w:gridCol w:w="2701"/>
        <w:gridCol w:w="2399"/>
        <w:gridCol w:w="2747"/>
      </w:tblGrid>
      <w:tr w:rsidR="00FA45B5">
        <w:trPr>
          <w:trHeight w:val="340"/>
        </w:trPr>
        <w:tc>
          <w:tcPr>
            <w:tcW w:w="15299" w:type="dxa"/>
            <w:gridSpan w:val="6"/>
            <w:shd w:val="clear" w:color="auto" w:fill="auto"/>
            <w:tcMar>
              <w:left w:w="73" w:type="dxa"/>
            </w:tcMar>
          </w:tcPr>
          <w:p w:rsidR="00FA45B5" w:rsidRDefault="00706C99">
            <w:pPr>
              <w:rPr>
                <w:rFonts w:ascii="Tahoma" w:hAnsi="Tahoma" w:cs="Tahoma"/>
                <w:b/>
              </w:rPr>
            </w:pPr>
            <w:r>
              <w:rPr>
                <w:rFonts w:cs="Tahoma"/>
                <w:b/>
                <w:bCs/>
                <w:sz w:val="24"/>
                <w:szCs w:val="24"/>
              </w:rPr>
              <w:t xml:space="preserve">KOSZTY DZIERŻAWY CZYTNIKA </w:t>
            </w:r>
          </w:p>
        </w:tc>
      </w:tr>
      <w:tr w:rsidR="00FA45B5">
        <w:trPr>
          <w:trHeight w:val="818"/>
        </w:trPr>
        <w:tc>
          <w:tcPr>
            <w:tcW w:w="2850" w:type="dxa"/>
            <w:shd w:val="clear" w:color="auto" w:fill="auto"/>
            <w:tcMar>
              <w:left w:w="73" w:type="dxa"/>
            </w:tcMar>
          </w:tcPr>
          <w:p w:rsidR="00FA45B5" w:rsidRDefault="00FA45B5">
            <w:pPr>
              <w:jc w:val="center"/>
              <w:rPr>
                <w:rFonts w:cs="Tahoma"/>
                <w:sz w:val="24"/>
                <w:szCs w:val="24"/>
              </w:rPr>
            </w:pPr>
          </w:p>
          <w:p w:rsidR="00FA45B5" w:rsidRDefault="00706C99">
            <w:pPr>
              <w:jc w:val="center"/>
              <w:rPr>
                <w:rFonts w:ascii="Tahoma" w:hAnsi="Tahoma" w:cs="Tahoma"/>
                <w:sz w:val="18"/>
                <w:szCs w:val="18"/>
              </w:rPr>
            </w:pPr>
            <w:r>
              <w:rPr>
                <w:rFonts w:cs="Tahoma"/>
                <w:sz w:val="24"/>
                <w:szCs w:val="24"/>
              </w:rPr>
              <w:t xml:space="preserve">Jednostkowa cena netto </w:t>
            </w:r>
          </w:p>
          <w:p w:rsidR="00FA45B5" w:rsidRDefault="00706C99">
            <w:pPr>
              <w:jc w:val="center"/>
              <w:rPr>
                <w:rFonts w:ascii="Tahoma" w:hAnsi="Tahoma" w:cs="Tahoma"/>
                <w:sz w:val="18"/>
                <w:szCs w:val="18"/>
              </w:rPr>
            </w:pPr>
            <w:r>
              <w:rPr>
                <w:rFonts w:cs="Tahoma"/>
                <w:sz w:val="24"/>
                <w:szCs w:val="24"/>
              </w:rPr>
              <w:t xml:space="preserve">m-cznej dzierżawy </w:t>
            </w:r>
          </w:p>
        </w:tc>
        <w:tc>
          <w:tcPr>
            <w:tcW w:w="2333" w:type="dxa"/>
            <w:shd w:val="clear" w:color="auto" w:fill="auto"/>
            <w:tcMar>
              <w:left w:w="73" w:type="dxa"/>
            </w:tcMar>
          </w:tcPr>
          <w:p w:rsidR="00FA45B5" w:rsidRDefault="00FA45B5">
            <w:pPr>
              <w:jc w:val="center"/>
              <w:rPr>
                <w:rFonts w:cs="Tahoma"/>
                <w:sz w:val="24"/>
                <w:szCs w:val="24"/>
              </w:rPr>
            </w:pPr>
          </w:p>
          <w:p w:rsidR="00FA45B5" w:rsidRDefault="00706C99">
            <w:pPr>
              <w:jc w:val="center"/>
              <w:rPr>
                <w:rFonts w:ascii="Tahoma" w:hAnsi="Tahoma" w:cs="Tahoma"/>
                <w:sz w:val="18"/>
                <w:szCs w:val="18"/>
              </w:rPr>
            </w:pPr>
            <w:r>
              <w:rPr>
                <w:rFonts w:cs="Tahoma"/>
                <w:sz w:val="24"/>
                <w:szCs w:val="24"/>
              </w:rPr>
              <w:t>Należny podatek VAT</w:t>
            </w:r>
          </w:p>
          <w:p w:rsidR="00FA45B5" w:rsidRDefault="00FA45B5">
            <w:pPr>
              <w:jc w:val="center"/>
              <w:rPr>
                <w:rFonts w:cs="Tahoma"/>
                <w:sz w:val="24"/>
                <w:szCs w:val="24"/>
              </w:rPr>
            </w:pPr>
          </w:p>
        </w:tc>
        <w:tc>
          <w:tcPr>
            <w:tcW w:w="2269" w:type="dxa"/>
            <w:shd w:val="clear" w:color="auto" w:fill="auto"/>
            <w:tcMar>
              <w:left w:w="73" w:type="dxa"/>
            </w:tcMar>
          </w:tcPr>
          <w:p w:rsidR="00FA45B5" w:rsidRDefault="00FA45B5">
            <w:pPr>
              <w:jc w:val="center"/>
              <w:rPr>
                <w:rFonts w:cs="Tahoma"/>
                <w:sz w:val="24"/>
                <w:szCs w:val="24"/>
              </w:rPr>
            </w:pPr>
          </w:p>
          <w:p w:rsidR="00FA45B5" w:rsidRDefault="00706C99">
            <w:pPr>
              <w:jc w:val="center"/>
              <w:rPr>
                <w:rFonts w:ascii="Tahoma" w:hAnsi="Tahoma" w:cs="Tahoma"/>
                <w:sz w:val="18"/>
                <w:szCs w:val="18"/>
              </w:rPr>
            </w:pPr>
            <w:r>
              <w:rPr>
                <w:rFonts w:cs="Tahoma"/>
                <w:sz w:val="24"/>
                <w:szCs w:val="24"/>
              </w:rPr>
              <w:t xml:space="preserve">Jednostkowa cena brutto m-cznej dzierżawy </w:t>
            </w:r>
          </w:p>
        </w:tc>
        <w:tc>
          <w:tcPr>
            <w:tcW w:w="2701" w:type="dxa"/>
            <w:shd w:val="clear" w:color="auto" w:fill="auto"/>
            <w:tcMar>
              <w:left w:w="73" w:type="dxa"/>
            </w:tcMar>
          </w:tcPr>
          <w:p w:rsidR="00FA45B5" w:rsidRDefault="00FA45B5">
            <w:pPr>
              <w:jc w:val="center"/>
              <w:rPr>
                <w:rFonts w:cs="Tahoma"/>
                <w:sz w:val="24"/>
                <w:szCs w:val="24"/>
              </w:rPr>
            </w:pPr>
          </w:p>
          <w:p w:rsidR="00FA45B5" w:rsidRDefault="00706C99">
            <w:pPr>
              <w:jc w:val="center"/>
              <w:rPr>
                <w:rFonts w:ascii="Tahoma" w:hAnsi="Tahoma" w:cs="Tahoma"/>
                <w:sz w:val="18"/>
                <w:szCs w:val="18"/>
              </w:rPr>
            </w:pPr>
            <w:r>
              <w:rPr>
                <w:rFonts w:cs="Tahoma"/>
                <w:sz w:val="24"/>
                <w:szCs w:val="24"/>
              </w:rPr>
              <w:t xml:space="preserve">Łączna wartość netto </w:t>
            </w:r>
          </w:p>
          <w:p w:rsidR="00FA45B5" w:rsidRDefault="00706C99">
            <w:pPr>
              <w:jc w:val="center"/>
              <w:rPr>
                <w:rFonts w:ascii="Tahoma" w:hAnsi="Tahoma" w:cs="Tahoma"/>
                <w:sz w:val="18"/>
                <w:szCs w:val="18"/>
              </w:rPr>
            </w:pPr>
            <w:r>
              <w:rPr>
                <w:rFonts w:cs="Tahoma"/>
                <w:sz w:val="24"/>
                <w:szCs w:val="24"/>
              </w:rPr>
              <w:t>36 miesięcznej dzierżawy</w:t>
            </w:r>
          </w:p>
          <w:p w:rsidR="00FA45B5" w:rsidRDefault="00FA45B5">
            <w:pPr>
              <w:jc w:val="center"/>
              <w:rPr>
                <w:rFonts w:cs="Tahoma"/>
                <w:sz w:val="24"/>
                <w:szCs w:val="24"/>
              </w:rPr>
            </w:pPr>
          </w:p>
        </w:tc>
        <w:tc>
          <w:tcPr>
            <w:tcW w:w="2399" w:type="dxa"/>
            <w:shd w:val="clear" w:color="auto" w:fill="auto"/>
            <w:tcMar>
              <w:left w:w="73" w:type="dxa"/>
            </w:tcMar>
          </w:tcPr>
          <w:p w:rsidR="00FA45B5" w:rsidRDefault="00FA45B5">
            <w:pPr>
              <w:jc w:val="center"/>
              <w:rPr>
                <w:rFonts w:cs="Tahoma"/>
                <w:sz w:val="24"/>
                <w:szCs w:val="24"/>
              </w:rPr>
            </w:pPr>
          </w:p>
          <w:p w:rsidR="00FA45B5" w:rsidRDefault="00706C99">
            <w:pPr>
              <w:jc w:val="center"/>
              <w:rPr>
                <w:sz w:val="24"/>
                <w:szCs w:val="24"/>
              </w:rPr>
            </w:pPr>
            <w:r>
              <w:rPr>
                <w:rFonts w:cs="Tahoma"/>
                <w:sz w:val="24"/>
                <w:szCs w:val="24"/>
              </w:rPr>
              <w:t>Należny podatek VAT</w:t>
            </w:r>
          </w:p>
          <w:p w:rsidR="00FA45B5" w:rsidRDefault="00FA45B5">
            <w:pPr>
              <w:jc w:val="center"/>
              <w:rPr>
                <w:rFonts w:cs="Tahoma"/>
                <w:sz w:val="24"/>
                <w:szCs w:val="24"/>
              </w:rPr>
            </w:pPr>
          </w:p>
        </w:tc>
        <w:tc>
          <w:tcPr>
            <w:tcW w:w="2747" w:type="dxa"/>
            <w:shd w:val="clear" w:color="auto" w:fill="auto"/>
            <w:tcMar>
              <w:left w:w="73" w:type="dxa"/>
            </w:tcMar>
          </w:tcPr>
          <w:p w:rsidR="00FA45B5" w:rsidRDefault="00FA45B5">
            <w:pPr>
              <w:jc w:val="center"/>
              <w:rPr>
                <w:rFonts w:cs="Tahoma"/>
                <w:sz w:val="24"/>
                <w:szCs w:val="24"/>
                <w:highlight w:val="white"/>
              </w:rPr>
            </w:pPr>
          </w:p>
          <w:p w:rsidR="00FA45B5" w:rsidRDefault="00706C99">
            <w:pPr>
              <w:jc w:val="center"/>
              <w:rPr>
                <w:rFonts w:ascii="Tahoma" w:hAnsi="Tahoma" w:cs="Tahoma"/>
                <w:sz w:val="18"/>
                <w:szCs w:val="18"/>
              </w:rPr>
            </w:pPr>
            <w:r>
              <w:rPr>
                <w:rFonts w:cs="Tahoma"/>
                <w:sz w:val="24"/>
                <w:szCs w:val="24"/>
                <w:highlight w:val="white"/>
              </w:rPr>
              <w:t xml:space="preserve">Łączna wartość brutto </w:t>
            </w:r>
          </w:p>
          <w:p w:rsidR="00FA45B5" w:rsidRDefault="00706C99">
            <w:pPr>
              <w:jc w:val="center"/>
              <w:rPr>
                <w:rFonts w:ascii="Tahoma" w:hAnsi="Tahoma" w:cs="Tahoma"/>
                <w:sz w:val="18"/>
                <w:szCs w:val="18"/>
              </w:rPr>
            </w:pPr>
            <w:r>
              <w:rPr>
                <w:rFonts w:cs="Tahoma"/>
                <w:sz w:val="24"/>
                <w:szCs w:val="24"/>
                <w:highlight w:val="white"/>
              </w:rPr>
              <w:t>36 miesięcznej dzierżawy</w:t>
            </w:r>
          </w:p>
        </w:tc>
      </w:tr>
      <w:tr w:rsidR="00FA45B5">
        <w:trPr>
          <w:trHeight w:val="454"/>
        </w:trPr>
        <w:tc>
          <w:tcPr>
            <w:tcW w:w="2850" w:type="dxa"/>
            <w:shd w:val="clear" w:color="auto" w:fill="auto"/>
            <w:tcMar>
              <w:left w:w="73" w:type="dxa"/>
            </w:tcMar>
          </w:tcPr>
          <w:p w:rsidR="00FA45B5" w:rsidRDefault="00FA45B5">
            <w:pPr>
              <w:rPr>
                <w:b/>
                <w:sz w:val="24"/>
              </w:rPr>
            </w:pPr>
          </w:p>
          <w:p w:rsidR="00FA45B5" w:rsidRDefault="00FA45B5">
            <w:pPr>
              <w:rPr>
                <w:b/>
                <w:sz w:val="24"/>
              </w:rPr>
            </w:pPr>
          </w:p>
        </w:tc>
        <w:tc>
          <w:tcPr>
            <w:tcW w:w="2333" w:type="dxa"/>
            <w:shd w:val="clear" w:color="auto" w:fill="auto"/>
            <w:tcMar>
              <w:left w:w="73" w:type="dxa"/>
            </w:tcMar>
          </w:tcPr>
          <w:p w:rsidR="00FA45B5" w:rsidRDefault="00FA45B5">
            <w:pPr>
              <w:rPr>
                <w:b/>
                <w:sz w:val="24"/>
              </w:rPr>
            </w:pPr>
          </w:p>
        </w:tc>
        <w:tc>
          <w:tcPr>
            <w:tcW w:w="2269" w:type="dxa"/>
            <w:shd w:val="clear" w:color="auto" w:fill="auto"/>
            <w:tcMar>
              <w:left w:w="73" w:type="dxa"/>
            </w:tcMar>
          </w:tcPr>
          <w:p w:rsidR="00FA45B5" w:rsidRDefault="00FA45B5">
            <w:pPr>
              <w:rPr>
                <w:b/>
                <w:sz w:val="24"/>
              </w:rPr>
            </w:pPr>
          </w:p>
        </w:tc>
        <w:tc>
          <w:tcPr>
            <w:tcW w:w="2701" w:type="dxa"/>
            <w:shd w:val="clear" w:color="auto" w:fill="auto"/>
            <w:tcMar>
              <w:left w:w="73" w:type="dxa"/>
            </w:tcMar>
          </w:tcPr>
          <w:p w:rsidR="00FA45B5" w:rsidRDefault="00FA45B5">
            <w:pPr>
              <w:rPr>
                <w:b/>
                <w:sz w:val="24"/>
              </w:rPr>
            </w:pPr>
          </w:p>
        </w:tc>
        <w:tc>
          <w:tcPr>
            <w:tcW w:w="2399" w:type="dxa"/>
            <w:shd w:val="clear" w:color="auto" w:fill="auto"/>
            <w:tcMar>
              <w:left w:w="73" w:type="dxa"/>
            </w:tcMar>
          </w:tcPr>
          <w:p w:rsidR="00FA45B5" w:rsidRDefault="00FA45B5">
            <w:pPr>
              <w:rPr>
                <w:b/>
                <w:sz w:val="24"/>
              </w:rPr>
            </w:pPr>
          </w:p>
        </w:tc>
        <w:tc>
          <w:tcPr>
            <w:tcW w:w="2747" w:type="dxa"/>
            <w:shd w:val="clear" w:color="auto" w:fill="B3B3B3"/>
            <w:tcMar>
              <w:left w:w="73" w:type="dxa"/>
            </w:tcMar>
          </w:tcPr>
          <w:p w:rsidR="00FA45B5" w:rsidRDefault="00FA45B5">
            <w:pPr>
              <w:rPr>
                <w:b/>
                <w:sz w:val="24"/>
                <w:highlight w:val="white"/>
              </w:rPr>
            </w:pPr>
          </w:p>
        </w:tc>
      </w:tr>
    </w:tbl>
    <w:p w:rsidR="00FA45B5" w:rsidRDefault="00FA45B5">
      <w:pPr>
        <w:ind w:right="-1368"/>
        <w:rPr>
          <w:b/>
          <w:bCs/>
          <w:color w:val="000000"/>
        </w:rPr>
      </w:pPr>
    </w:p>
    <w:tbl>
      <w:tblPr>
        <w:tblW w:w="15650" w:type="dxa"/>
        <w:tblInd w:w="-6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616"/>
        <w:gridCol w:w="2833"/>
        <w:gridCol w:w="1433"/>
        <w:gridCol w:w="1235"/>
        <w:gridCol w:w="1416"/>
        <w:gridCol w:w="1318"/>
        <w:gridCol w:w="1133"/>
        <w:gridCol w:w="1417"/>
        <w:gridCol w:w="849"/>
        <w:gridCol w:w="950"/>
        <w:gridCol w:w="900"/>
        <w:gridCol w:w="1550"/>
      </w:tblGrid>
      <w:tr w:rsidR="00FA45B5">
        <w:trPr>
          <w:trHeight w:val="284"/>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pPr>
              <w:jc w:val="center"/>
              <w:rPr>
                <w:rFonts w:ascii="Tahoma" w:hAnsi="Tahoma" w:cs="Tahoma"/>
                <w:color w:val="000000"/>
                <w:sz w:val="16"/>
                <w:szCs w:val="16"/>
              </w:rPr>
            </w:pPr>
            <w:r>
              <w:rPr>
                <w:rFonts w:cs="Tahoma"/>
                <w:color w:val="000000"/>
                <w:sz w:val="24"/>
                <w:szCs w:val="24"/>
              </w:rPr>
              <w:t>L.p.</w:t>
            </w:r>
          </w:p>
        </w:tc>
        <w:tc>
          <w:tcPr>
            <w:tcW w:w="283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pPr>
              <w:jc w:val="center"/>
              <w:rPr>
                <w:rFonts w:ascii="Tahoma" w:hAnsi="Tahoma" w:cs="Tahoma"/>
                <w:color w:val="000000"/>
                <w:sz w:val="16"/>
                <w:szCs w:val="16"/>
              </w:rPr>
            </w:pPr>
            <w:r>
              <w:rPr>
                <w:rFonts w:cs="Tahoma"/>
                <w:color w:val="000000"/>
                <w:sz w:val="24"/>
                <w:szCs w:val="24"/>
              </w:rPr>
              <w:t>Nazwa odczynnika</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pPr>
              <w:jc w:val="center"/>
              <w:rPr>
                <w:rFonts w:ascii="Tahoma" w:hAnsi="Tahoma" w:cs="Tahoma"/>
                <w:sz w:val="16"/>
                <w:szCs w:val="16"/>
              </w:rPr>
            </w:pPr>
            <w:r>
              <w:rPr>
                <w:rFonts w:cs="Tahoma"/>
                <w:sz w:val="24"/>
                <w:szCs w:val="24"/>
              </w:rPr>
              <w:t>Ilość badań /</w:t>
            </w:r>
          </w:p>
          <w:p w:rsidR="00FA45B5" w:rsidRDefault="00706C99">
            <w:pPr>
              <w:jc w:val="center"/>
              <w:rPr>
                <w:rFonts w:ascii="Tahoma" w:hAnsi="Tahoma" w:cs="Tahoma"/>
                <w:sz w:val="16"/>
                <w:szCs w:val="16"/>
              </w:rPr>
            </w:pPr>
            <w:r>
              <w:rPr>
                <w:rFonts w:cs="Tahoma"/>
                <w:sz w:val="24"/>
                <w:szCs w:val="24"/>
              </w:rPr>
              <w:t>3 lata</w:t>
            </w: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pPr>
              <w:jc w:val="center"/>
              <w:rPr>
                <w:rFonts w:ascii="Tahoma" w:hAnsi="Tahoma" w:cs="Tahoma"/>
                <w:sz w:val="16"/>
                <w:szCs w:val="16"/>
              </w:rPr>
            </w:pPr>
            <w:r>
              <w:rPr>
                <w:rFonts w:cs="Tahoma"/>
                <w:sz w:val="24"/>
                <w:szCs w:val="24"/>
              </w:rPr>
              <w:t>Ilość opakowań</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pPr>
              <w:jc w:val="center"/>
              <w:rPr>
                <w:rFonts w:ascii="Tahoma" w:hAnsi="Tahoma" w:cs="Tahoma"/>
                <w:sz w:val="16"/>
                <w:szCs w:val="16"/>
              </w:rPr>
            </w:pPr>
            <w:r>
              <w:rPr>
                <w:rFonts w:cs="Tahoma"/>
                <w:sz w:val="24"/>
                <w:szCs w:val="24"/>
              </w:rPr>
              <w:t>Wielkość opakowania</w:t>
            </w: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pPr>
              <w:jc w:val="center"/>
              <w:rPr>
                <w:rFonts w:ascii="Tahoma" w:hAnsi="Tahoma" w:cs="Tahoma"/>
                <w:sz w:val="16"/>
                <w:szCs w:val="16"/>
              </w:rPr>
            </w:pPr>
            <w:r>
              <w:rPr>
                <w:rFonts w:cs="Tahoma"/>
                <w:sz w:val="24"/>
                <w:szCs w:val="24"/>
              </w:rPr>
              <w:t>Nr katalogowy</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pPr>
              <w:jc w:val="center"/>
              <w:rPr>
                <w:rFonts w:ascii="Tahoma" w:hAnsi="Tahoma" w:cs="Tahoma"/>
                <w:sz w:val="16"/>
                <w:szCs w:val="16"/>
              </w:rPr>
            </w:pPr>
            <w:r>
              <w:rPr>
                <w:rFonts w:cs="Tahoma"/>
                <w:sz w:val="24"/>
                <w:szCs w:val="24"/>
              </w:rPr>
              <w:t>Producent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pPr>
              <w:jc w:val="center"/>
              <w:rPr>
                <w:rFonts w:ascii="Tahoma" w:hAnsi="Tahoma" w:cs="Tahoma"/>
                <w:sz w:val="16"/>
                <w:szCs w:val="16"/>
              </w:rPr>
            </w:pPr>
            <w:r>
              <w:rPr>
                <w:rFonts w:cs="Tahoma"/>
                <w:sz w:val="24"/>
                <w:szCs w:val="24"/>
              </w:rPr>
              <w:t>Cena jednostkowa netto/    opakowanie</w:t>
            </w: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pPr>
              <w:jc w:val="center"/>
              <w:rPr>
                <w:sz w:val="24"/>
                <w:szCs w:val="24"/>
              </w:rPr>
            </w:pPr>
            <w:r>
              <w:rPr>
                <w:rFonts w:cs="Tahoma"/>
                <w:sz w:val="24"/>
                <w:szCs w:val="24"/>
              </w:rPr>
              <w:t>Stawka VAT          (%)</w:t>
            </w: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pPr>
              <w:jc w:val="center"/>
              <w:rPr>
                <w:rFonts w:ascii="Tahoma" w:hAnsi="Tahoma" w:cs="Tahoma"/>
                <w:sz w:val="16"/>
                <w:szCs w:val="16"/>
              </w:rPr>
            </w:pPr>
            <w:r>
              <w:rPr>
                <w:rFonts w:cs="Tahoma"/>
                <w:sz w:val="24"/>
                <w:szCs w:val="24"/>
              </w:rPr>
              <w:t>Łączna wartość netto</w:t>
            </w: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pPr>
              <w:jc w:val="center"/>
              <w:rPr>
                <w:rFonts w:ascii="Tahoma" w:hAnsi="Tahoma" w:cs="Tahoma"/>
                <w:sz w:val="16"/>
                <w:szCs w:val="16"/>
              </w:rPr>
            </w:pPr>
            <w:r>
              <w:rPr>
                <w:rFonts w:cs="Tahoma"/>
                <w:sz w:val="24"/>
                <w:szCs w:val="24"/>
              </w:rPr>
              <w:t xml:space="preserve">Łączna </w:t>
            </w:r>
          </w:p>
          <w:p w:rsidR="00FA45B5" w:rsidRDefault="00706C99">
            <w:pPr>
              <w:jc w:val="center"/>
              <w:rPr>
                <w:rFonts w:ascii="Tahoma" w:hAnsi="Tahoma" w:cs="Tahoma"/>
                <w:sz w:val="16"/>
                <w:szCs w:val="16"/>
              </w:rPr>
            </w:pPr>
            <w:r>
              <w:rPr>
                <w:rFonts w:cs="Tahoma"/>
                <w:sz w:val="24"/>
                <w:szCs w:val="24"/>
              </w:rPr>
              <w:t>wartość brutto</w:t>
            </w: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FA45B5" w:rsidRDefault="00706C99">
            <w:pPr>
              <w:jc w:val="center"/>
              <w:rPr>
                <w:sz w:val="24"/>
                <w:szCs w:val="24"/>
              </w:rPr>
            </w:pPr>
            <w:r>
              <w:rPr>
                <w:rFonts w:cs="Tahoma"/>
                <w:sz w:val="24"/>
                <w:szCs w:val="24"/>
              </w:rPr>
              <w:t>Koszt pojedynczego</w:t>
            </w:r>
          </w:p>
          <w:p w:rsidR="00FA45B5" w:rsidRDefault="00706C99">
            <w:pPr>
              <w:jc w:val="center"/>
              <w:rPr>
                <w:sz w:val="24"/>
                <w:szCs w:val="24"/>
              </w:rPr>
            </w:pPr>
            <w:r>
              <w:rPr>
                <w:rFonts w:cs="Tahoma"/>
                <w:sz w:val="24"/>
                <w:szCs w:val="24"/>
              </w:rPr>
              <w:t>oznaczenia</w:t>
            </w:r>
          </w:p>
        </w:tc>
      </w:tr>
      <w:tr w:rsidR="00FA45B5">
        <w:trPr>
          <w:trHeight w:val="284"/>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FA45B5" w:rsidP="007B7ECC">
            <w:pPr>
              <w:jc w:val="center"/>
              <w:rPr>
                <w:rFonts w:cs="Tahoma"/>
                <w:color w:val="000000"/>
                <w:sz w:val="24"/>
                <w:szCs w:val="24"/>
              </w:rPr>
            </w:pPr>
          </w:p>
          <w:p w:rsidR="00FA45B5" w:rsidRDefault="00706C99" w:rsidP="007B7ECC">
            <w:pPr>
              <w:jc w:val="center"/>
              <w:rPr>
                <w:rFonts w:ascii="Tahoma" w:hAnsi="Tahoma" w:cs="Tahoma"/>
                <w:color w:val="000000"/>
                <w:sz w:val="16"/>
                <w:szCs w:val="16"/>
              </w:rPr>
            </w:pPr>
            <w:r>
              <w:rPr>
                <w:rFonts w:cs="Tahoma"/>
                <w:color w:val="000000"/>
                <w:sz w:val="24"/>
                <w:szCs w:val="24"/>
              </w:rPr>
              <w:t>1.</w:t>
            </w:r>
          </w:p>
          <w:p w:rsidR="00FA45B5" w:rsidRDefault="00FA45B5" w:rsidP="007B7ECC">
            <w:pPr>
              <w:jc w:val="center"/>
              <w:rPr>
                <w:rFonts w:cs="Tahoma"/>
                <w:color w:val="000000"/>
                <w:sz w:val="24"/>
                <w:szCs w:val="24"/>
              </w:rPr>
            </w:pPr>
          </w:p>
        </w:tc>
        <w:tc>
          <w:tcPr>
            <w:tcW w:w="283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rsidP="007B7ECC">
            <w:pPr>
              <w:rPr>
                <w:rFonts w:ascii="Tahoma" w:hAnsi="Tahoma" w:cs="Tahoma"/>
                <w:color w:val="000000"/>
                <w:sz w:val="16"/>
                <w:szCs w:val="16"/>
              </w:rPr>
            </w:pPr>
            <w:r>
              <w:rPr>
                <w:rFonts w:cs="Tahoma"/>
                <w:color w:val="000000"/>
                <w:sz w:val="24"/>
                <w:szCs w:val="24"/>
              </w:rPr>
              <w:t>10 parametrowe paski do analizy moczu</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rsidP="00930981">
            <w:pPr>
              <w:jc w:val="center"/>
              <w:rPr>
                <w:sz w:val="24"/>
                <w:szCs w:val="24"/>
              </w:rPr>
            </w:pPr>
            <w:r>
              <w:rPr>
                <w:rFonts w:cs="Tahoma"/>
                <w:sz w:val="24"/>
                <w:szCs w:val="24"/>
              </w:rPr>
              <w:t>7</w:t>
            </w:r>
            <w:r w:rsidR="00930981">
              <w:rPr>
                <w:rFonts w:cs="Tahoma"/>
                <w:sz w:val="24"/>
                <w:szCs w:val="24"/>
              </w:rPr>
              <w:t>0</w:t>
            </w:r>
            <w:r>
              <w:rPr>
                <w:rFonts w:cs="Tahoma"/>
                <w:sz w:val="24"/>
                <w:szCs w:val="24"/>
              </w:rPr>
              <w:t xml:space="preserve"> 000</w:t>
            </w: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sz w:val="24"/>
                <w:szCs w:val="24"/>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FA45B5" w:rsidRDefault="00FA45B5" w:rsidP="007B7ECC">
            <w:pPr>
              <w:rPr>
                <w:rFonts w:cs="Tahoma"/>
                <w:sz w:val="24"/>
                <w:szCs w:val="24"/>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sz w:val="24"/>
                <w:szCs w:val="24"/>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sz w:val="24"/>
                <w:szCs w:val="24"/>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FA45B5" w:rsidRDefault="00FA45B5" w:rsidP="007B7ECC">
            <w:pPr>
              <w:rPr>
                <w:rFonts w:cs="Tahoma"/>
                <w:sz w:val="24"/>
                <w:szCs w:val="24"/>
              </w:rPr>
            </w:pPr>
          </w:p>
        </w:tc>
      </w:tr>
      <w:tr w:rsidR="00FA45B5">
        <w:trPr>
          <w:trHeight w:val="284"/>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rsidP="007B7ECC">
            <w:pPr>
              <w:jc w:val="center"/>
              <w:rPr>
                <w:rFonts w:ascii="Tahoma" w:hAnsi="Tahoma" w:cs="Tahoma"/>
                <w:color w:val="000000"/>
                <w:sz w:val="16"/>
                <w:szCs w:val="16"/>
              </w:rPr>
            </w:pPr>
            <w:r>
              <w:rPr>
                <w:rFonts w:cs="Tahoma"/>
                <w:color w:val="000000"/>
                <w:sz w:val="24"/>
                <w:szCs w:val="24"/>
              </w:rPr>
              <w:t>2.</w:t>
            </w:r>
          </w:p>
        </w:tc>
        <w:tc>
          <w:tcPr>
            <w:tcW w:w="283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rsidP="007B7ECC">
            <w:pPr>
              <w:rPr>
                <w:sz w:val="24"/>
                <w:szCs w:val="24"/>
              </w:rPr>
            </w:pPr>
            <w:r>
              <w:rPr>
                <w:rFonts w:cs="Tahoma"/>
                <w:color w:val="000000"/>
                <w:sz w:val="24"/>
                <w:szCs w:val="24"/>
              </w:rPr>
              <w:t xml:space="preserve">Materiał kontrolny do wewnątrzlaboratoryjnej kontroli jakości na 2 poziomach </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FA45B5" w:rsidRDefault="00FA45B5" w:rsidP="007B7ECC">
            <w:pPr>
              <w:rPr>
                <w:rFonts w:cs="Tahoma"/>
                <w:color w:val="000000"/>
                <w:sz w:val="24"/>
                <w:szCs w:val="24"/>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vAlign w:val="bottom"/>
          </w:tcPr>
          <w:p w:rsidR="00FA45B5" w:rsidRDefault="00FA45B5" w:rsidP="007B7ECC">
            <w:pPr>
              <w:rPr>
                <w:rFonts w:cs="Tahoma"/>
                <w:color w:val="000000"/>
                <w:sz w:val="24"/>
                <w:szCs w:val="24"/>
              </w:rPr>
            </w:pPr>
          </w:p>
        </w:tc>
      </w:tr>
      <w:tr w:rsidR="00FA45B5">
        <w:trPr>
          <w:trHeight w:val="284"/>
        </w:trPr>
        <w:tc>
          <w:tcPr>
            <w:tcW w:w="61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FA45B5" w:rsidRDefault="00FA45B5" w:rsidP="007B7ECC">
            <w:pPr>
              <w:jc w:val="center"/>
              <w:rPr>
                <w:rFonts w:cs="Tahoma"/>
                <w:color w:val="000000"/>
                <w:sz w:val="24"/>
                <w:szCs w:val="24"/>
              </w:rPr>
            </w:pPr>
          </w:p>
          <w:p w:rsidR="00FA45B5" w:rsidRDefault="00FA45B5" w:rsidP="007B7ECC">
            <w:pPr>
              <w:jc w:val="center"/>
              <w:rPr>
                <w:rFonts w:cs="Tahoma"/>
                <w:color w:val="000000"/>
                <w:sz w:val="24"/>
                <w:szCs w:val="24"/>
              </w:rPr>
            </w:pPr>
          </w:p>
          <w:p w:rsidR="00FA45B5" w:rsidRDefault="00706C99" w:rsidP="007B7ECC">
            <w:pPr>
              <w:jc w:val="center"/>
              <w:rPr>
                <w:rFonts w:ascii="Tahoma" w:hAnsi="Tahoma" w:cs="Tahoma"/>
                <w:color w:val="000000"/>
                <w:sz w:val="16"/>
                <w:szCs w:val="16"/>
              </w:rPr>
            </w:pPr>
            <w:r>
              <w:rPr>
                <w:rFonts w:cs="Tahoma"/>
                <w:color w:val="000000"/>
                <w:sz w:val="24"/>
                <w:szCs w:val="24"/>
              </w:rPr>
              <w:t>3.</w:t>
            </w:r>
          </w:p>
        </w:tc>
        <w:tc>
          <w:tcPr>
            <w:tcW w:w="283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center"/>
          </w:tcPr>
          <w:p w:rsidR="00FA45B5" w:rsidRDefault="00706C99" w:rsidP="007B7ECC">
            <w:pPr>
              <w:rPr>
                <w:sz w:val="24"/>
                <w:szCs w:val="24"/>
              </w:rPr>
            </w:pPr>
            <w:r>
              <w:rPr>
                <w:rFonts w:cs="Tahoma"/>
                <w:color w:val="000000"/>
                <w:sz w:val="24"/>
                <w:szCs w:val="24"/>
              </w:rPr>
              <w:t xml:space="preserve">Materiał kontrolny do zewnątrzlaboratoryjnej kontroli jakości                            z możliwością uzyskania certyfikatu. </w:t>
            </w:r>
          </w:p>
        </w:tc>
        <w:tc>
          <w:tcPr>
            <w:tcW w:w="143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1235"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1318"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84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FA45B5" w:rsidRDefault="00FA45B5" w:rsidP="007B7ECC">
            <w:pPr>
              <w:rPr>
                <w:rFonts w:cs="Tahoma"/>
                <w:color w:val="000000"/>
                <w:sz w:val="24"/>
                <w:szCs w:val="24"/>
              </w:rPr>
            </w:pPr>
          </w:p>
        </w:tc>
        <w:tc>
          <w:tcPr>
            <w:tcW w:w="95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rsidP="007B7ECC">
            <w:pPr>
              <w:rPr>
                <w:rFonts w:cs="Tahoma"/>
                <w:color w:val="000000"/>
                <w:sz w:val="24"/>
                <w:szCs w:val="24"/>
              </w:rPr>
            </w:pPr>
          </w:p>
        </w:tc>
      </w:tr>
      <w:tr w:rsidR="00FA45B5">
        <w:trPr>
          <w:trHeight w:val="284"/>
        </w:trPr>
        <w:tc>
          <w:tcPr>
            <w:tcW w:w="12249" w:type="dxa"/>
            <w:gridSpan w:val="9"/>
            <w:tcBorders>
              <w:top w:val="single" w:sz="4" w:space="0" w:color="00000A"/>
              <w:left w:val="single" w:sz="4" w:space="0" w:color="00000A"/>
              <w:bottom w:val="single" w:sz="4" w:space="0" w:color="00000A"/>
              <w:right w:val="single" w:sz="4" w:space="0" w:color="00000A"/>
            </w:tcBorders>
            <w:shd w:val="clear" w:color="auto" w:fill="B3B3B3"/>
            <w:tcMar>
              <w:left w:w="30" w:type="dxa"/>
            </w:tcMar>
          </w:tcPr>
          <w:p w:rsidR="00FA45B5" w:rsidRDefault="00FA45B5">
            <w:pPr>
              <w:jc w:val="right"/>
              <w:rPr>
                <w:rFonts w:cs="Tahoma"/>
                <w:b/>
                <w:color w:val="000000"/>
                <w:sz w:val="24"/>
                <w:szCs w:val="24"/>
              </w:rPr>
            </w:pPr>
          </w:p>
          <w:p w:rsidR="00FA45B5" w:rsidRDefault="00706C99">
            <w:pPr>
              <w:jc w:val="right"/>
              <w:rPr>
                <w:sz w:val="24"/>
                <w:szCs w:val="24"/>
              </w:rPr>
            </w:pPr>
            <w:r>
              <w:rPr>
                <w:rFonts w:cs="Tahoma"/>
                <w:b/>
                <w:color w:val="000000"/>
                <w:sz w:val="24"/>
                <w:szCs w:val="24"/>
              </w:rPr>
              <w:t>RAZEM:</w:t>
            </w:r>
          </w:p>
        </w:tc>
        <w:tc>
          <w:tcPr>
            <w:tcW w:w="950" w:type="dxa"/>
            <w:tcBorders>
              <w:top w:val="single" w:sz="4" w:space="0" w:color="00000A"/>
              <w:left w:val="single" w:sz="4" w:space="0" w:color="00000A"/>
              <w:bottom w:val="single" w:sz="4" w:space="0" w:color="00000A"/>
              <w:right w:val="single" w:sz="4" w:space="0" w:color="00000A"/>
            </w:tcBorders>
            <w:shd w:val="clear" w:color="auto" w:fill="B3B3B3"/>
            <w:tcMar>
              <w:left w:w="30" w:type="dxa"/>
            </w:tcMar>
            <w:vAlign w:val="bottom"/>
          </w:tcPr>
          <w:p w:rsidR="00FA45B5" w:rsidRDefault="00FA45B5">
            <w:pPr>
              <w:rPr>
                <w:rFonts w:cs="Tahoma"/>
                <w:b/>
                <w:color w:val="000000"/>
                <w:sz w:val="24"/>
                <w:szCs w:val="24"/>
              </w:rPr>
            </w:pPr>
          </w:p>
        </w:tc>
        <w:tc>
          <w:tcPr>
            <w:tcW w:w="900" w:type="dxa"/>
            <w:tcBorders>
              <w:top w:val="single" w:sz="4" w:space="0" w:color="00000A"/>
              <w:left w:val="single" w:sz="4" w:space="0" w:color="00000A"/>
              <w:bottom w:val="single" w:sz="4" w:space="0" w:color="00000A"/>
              <w:right w:val="single" w:sz="4" w:space="0" w:color="00000A"/>
            </w:tcBorders>
            <w:shd w:val="clear" w:color="auto" w:fill="B3B3B3"/>
            <w:tcMar>
              <w:left w:w="30" w:type="dxa"/>
            </w:tcMar>
            <w:vAlign w:val="bottom"/>
          </w:tcPr>
          <w:p w:rsidR="00FA45B5" w:rsidRDefault="00FA45B5">
            <w:pPr>
              <w:rPr>
                <w:rFonts w:cs="Tahoma"/>
                <w:color w:val="000000"/>
                <w:sz w:val="24"/>
                <w:szCs w:val="24"/>
              </w:rPr>
            </w:pP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30" w:type="dxa"/>
            </w:tcMar>
            <w:vAlign w:val="bottom"/>
          </w:tcPr>
          <w:p w:rsidR="00FA45B5" w:rsidRDefault="00FA45B5">
            <w:pPr>
              <w:rPr>
                <w:rFonts w:cs="Tahoma"/>
                <w:color w:val="000000"/>
                <w:sz w:val="24"/>
                <w:szCs w:val="24"/>
              </w:rPr>
            </w:pPr>
          </w:p>
        </w:tc>
      </w:tr>
    </w:tbl>
    <w:p w:rsidR="00FA45B5" w:rsidRDefault="00706C99" w:rsidP="00930981">
      <w:pPr>
        <w:spacing w:line="276" w:lineRule="auto"/>
        <w:ind w:left="-142" w:right="-30"/>
        <w:jc w:val="both"/>
      </w:pPr>
      <w:r>
        <w:rPr>
          <w:rFonts w:ascii="Tahoma" w:hAnsi="Tahoma" w:cs="Tahoma"/>
          <w:color w:val="000000"/>
        </w:rPr>
        <w:lastRenderedPageBreak/>
        <w:br/>
      </w:r>
      <w:r>
        <w:rPr>
          <w:rFonts w:cs="Tahoma"/>
          <w:b/>
          <w:bCs/>
          <w:color w:val="000000"/>
          <w:sz w:val="24"/>
          <w:szCs w:val="24"/>
          <w:u w:val="single"/>
        </w:rPr>
        <w:t>Warunki graniczne - odczynniki</w:t>
      </w:r>
    </w:p>
    <w:p w:rsidR="00930981" w:rsidRPr="00930981" w:rsidRDefault="00930981" w:rsidP="00930981">
      <w:pPr>
        <w:pStyle w:val="western"/>
        <w:spacing w:before="0" w:beforeAutospacing="0" w:after="0" w:line="276" w:lineRule="auto"/>
        <w:jc w:val="both"/>
        <w:rPr>
          <w:sz w:val="24"/>
          <w:szCs w:val="24"/>
        </w:rPr>
      </w:pPr>
      <w:r w:rsidRPr="00930981">
        <w:rPr>
          <w:color w:val="000000"/>
          <w:sz w:val="24"/>
          <w:szCs w:val="24"/>
        </w:rPr>
        <w:t>1. min. 10 parametrowe paski do analizy moczu z następującymi parametrami: ciężar właściwy, pH, azotyny, ciała ketonowe, glukoza, białko, bilirubina, urobilinogen, leukocyty, krew.</w:t>
      </w:r>
    </w:p>
    <w:p w:rsidR="00930981" w:rsidRPr="00930981" w:rsidRDefault="00930981" w:rsidP="00930981">
      <w:pPr>
        <w:pStyle w:val="western"/>
        <w:spacing w:before="0" w:beforeAutospacing="0" w:after="0" w:line="276" w:lineRule="auto"/>
        <w:jc w:val="both"/>
        <w:rPr>
          <w:sz w:val="24"/>
          <w:szCs w:val="24"/>
        </w:rPr>
      </w:pPr>
      <w:r w:rsidRPr="00930981">
        <w:rPr>
          <w:color w:val="000000"/>
          <w:sz w:val="24"/>
          <w:szCs w:val="24"/>
        </w:rPr>
        <w:t>2. P</w:t>
      </w:r>
      <w:r w:rsidRPr="00930981">
        <w:rPr>
          <w:color w:val="000000"/>
          <w:sz w:val="24"/>
          <w:szCs w:val="24"/>
          <w:shd w:val="clear" w:color="auto" w:fill="FFFFFF"/>
        </w:rPr>
        <w:t>aski z eliminacją wpływu kwasu askorbinowego na wynik badania moczu.</w:t>
      </w:r>
    </w:p>
    <w:p w:rsidR="00930981" w:rsidRPr="00930981" w:rsidRDefault="00930981" w:rsidP="00930981">
      <w:pPr>
        <w:pStyle w:val="western"/>
        <w:spacing w:before="0" w:beforeAutospacing="0" w:after="0" w:line="276" w:lineRule="auto"/>
        <w:jc w:val="both"/>
        <w:rPr>
          <w:sz w:val="24"/>
          <w:szCs w:val="24"/>
        </w:rPr>
      </w:pPr>
      <w:r w:rsidRPr="00930981">
        <w:rPr>
          <w:color w:val="000000"/>
          <w:sz w:val="24"/>
          <w:szCs w:val="24"/>
        </w:rPr>
        <w:t xml:space="preserve">3. Data ważności dostarczonych pasków min. </w:t>
      </w:r>
      <w:r w:rsidRPr="00930981">
        <w:rPr>
          <w:color w:val="000000"/>
          <w:sz w:val="24"/>
          <w:szCs w:val="24"/>
          <w:shd w:val="clear" w:color="auto" w:fill="FFFFFF"/>
        </w:rPr>
        <w:t xml:space="preserve">6 </w:t>
      </w:r>
      <w:r w:rsidRPr="00930981">
        <w:rPr>
          <w:color w:val="000000"/>
          <w:sz w:val="24"/>
          <w:szCs w:val="24"/>
        </w:rPr>
        <w:t>miesięcy od daty dostawy.</w:t>
      </w:r>
    </w:p>
    <w:p w:rsidR="00930981" w:rsidRPr="00930981" w:rsidRDefault="00930981" w:rsidP="00930981">
      <w:pPr>
        <w:pStyle w:val="western"/>
        <w:spacing w:before="0" w:beforeAutospacing="0" w:after="0" w:line="276" w:lineRule="auto"/>
        <w:jc w:val="both"/>
        <w:rPr>
          <w:sz w:val="24"/>
          <w:szCs w:val="24"/>
        </w:rPr>
      </w:pPr>
      <w:r w:rsidRPr="00930981">
        <w:rPr>
          <w:color w:val="000000"/>
          <w:sz w:val="24"/>
          <w:szCs w:val="24"/>
        </w:rPr>
        <w:t>4. Wszystkie dane dotyczące pasków oraz materiałów kontrolnych muszą zawierać się w dołączonej instrukcji w języku polskim.</w:t>
      </w:r>
    </w:p>
    <w:p w:rsidR="00930981" w:rsidRPr="00930981" w:rsidRDefault="00930981" w:rsidP="00930981">
      <w:pPr>
        <w:pStyle w:val="western"/>
        <w:spacing w:before="0" w:beforeAutospacing="0" w:after="0" w:line="276" w:lineRule="auto"/>
        <w:jc w:val="both"/>
        <w:rPr>
          <w:sz w:val="24"/>
          <w:szCs w:val="24"/>
        </w:rPr>
      </w:pPr>
      <w:r w:rsidRPr="00930981">
        <w:rPr>
          <w:color w:val="000000"/>
          <w:sz w:val="24"/>
          <w:szCs w:val="24"/>
          <w:shd w:val="clear" w:color="auto" w:fill="FFFFFF"/>
        </w:rPr>
        <w:t xml:space="preserve">5. </w:t>
      </w:r>
      <w:r w:rsidRPr="00930981">
        <w:rPr>
          <w:color w:val="000000"/>
          <w:sz w:val="24"/>
          <w:szCs w:val="24"/>
        </w:rPr>
        <w:t>Wykonawca zobowiązany jest do wyrównania strat pasków poniesionych w wyniku awarii aparatu powodujących uzyskanie niewiarygodnych wyników.</w:t>
      </w:r>
    </w:p>
    <w:p w:rsidR="00930981" w:rsidRPr="00930981" w:rsidRDefault="00930981" w:rsidP="00930981">
      <w:pPr>
        <w:pStyle w:val="western"/>
        <w:spacing w:before="0" w:beforeAutospacing="0" w:after="0" w:line="276" w:lineRule="auto"/>
        <w:jc w:val="both"/>
        <w:rPr>
          <w:sz w:val="24"/>
          <w:szCs w:val="24"/>
        </w:rPr>
      </w:pPr>
      <w:r w:rsidRPr="00930981">
        <w:rPr>
          <w:color w:val="000000"/>
          <w:sz w:val="24"/>
          <w:szCs w:val="24"/>
        </w:rPr>
        <w:t>6. Do zaoferowanej ilości pasków należy doliczyć paski do wykonania badań kontrolnych kontroli wewnątrzlaboratoryjnej codziennie tj. 7 dni tygodniu na dwóch poziomach oraz zaoferowanej kontroli zewnątrzlaboratoryjnej.</w:t>
      </w:r>
    </w:p>
    <w:p w:rsidR="00930981" w:rsidRPr="00930981" w:rsidRDefault="00930981" w:rsidP="00930981">
      <w:pPr>
        <w:pStyle w:val="western"/>
        <w:spacing w:before="0" w:beforeAutospacing="0" w:after="0" w:line="276" w:lineRule="auto"/>
        <w:jc w:val="both"/>
        <w:rPr>
          <w:sz w:val="24"/>
          <w:szCs w:val="24"/>
        </w:rPr>
      </w:pPr>
      <w:r w:rsidRPr="00930981">
        <w:rPr>
          <w:color w:val="000000"/>
          <w:sz w:val="24"/>
          <w:szCs w:val="24"/>
        </w:rPr>
        <w:t>7. Przez cały okres trwania umowy, zapewnienie udziału w niezależnym programie, polegającym na dostarczeniu do laboratorium zewnętrznego materiału kontrolnego, dostarczonego przez niezależną firmę zewnętrzną, umożliwiającego wykonanie niezależnych oznaczeń kontrolnych, co najmniej</w:t>
      </w:r>
      <w:r w:rsidRPr="00930981">
        <w:rPr>
          <w:color w:val="000000"/>
          <w:sz w:val="24"/>
          <w:szCs w:val="24"/>
          <w:shd w:val="clear" w:color="auto" w:fill="FFFFFF"/>
        </w:rPr>
        <w:t xml:space="preserve"> 4 </w:t>
      </w:r>
      <w:r w:rsidRPr="00930981">
        <w:rPr>
          <w:color w:val="000000"/>
          <w:sz w:val="24"/>
          <w:szCs w:val="24"/>
        </w:rPr>
        <w:t xml:space="preserve">razy w roku, z możliwością uzyskania certyfikatu. </w:t>
      </w:r>
    </w:p>
    <w:p w:rsidR="00930981" w:rsidRPr="00930981" w:rsidRDefault="00930981" w:rsidP="00930981">
      <w:pPr>
        <w:pStyle w:val="western"/>
        <w:spacing w:before="0" w:beforeAutospacing="0" w:after="0" w:line="276" w:lineRule="auto"/>
        <w:rPr>
          <w:sz w:val="24"/>
          <w:szCs w:val="24"/>
        </w:rPr>
      </w:pPr>
      <w:r w:rsidRPr="00930981">
        <w:rPr>
          <w:color w:val="000000"/>
          <w:sz w:val="24"/>
          <w:szCs w:val="24"/>
        </w:rPr>
        <w:t xml:space="preserve">8. </w:t>
      </w:r>
      <w:r w:rsidRPr="00930981">
        <w:rPr>
          <w:color w:val="000000"/>
          <w:sz w:val="24"/>
          <w:szCs w:val="24"/>
          <w:shd w:val="clear" w:color="auto" w:fill="FFFFFF"/>
        </w:rPr>
        <w:t>Dostawa w ciągu maksymalnie do 4 dni roboczych od momentu złożenia zamówienia faxem lub e-mail. W przypadku pilnego zamówienia (tryb „CITO”) Wykonawca zobowiązuje się dostarczyć zamawiany asortyment do 48 godzin w dni robocze od momentu złożenia zamówienia faxem lub e-mail.</w:t>
      </w:r>
    </w:p>
    <w:p w:rsidR="00930981" w:rsidRPr="00930981" w:rsidRDefault="00930981" w:rsidP="00930981">
      <w:pPr>
        <w:pStyle w:val="western"/>
        <w:spacing w:before="0" w:beforeAutospacing="0" w:after="0" w:line="276" w:lineRule="auto"/>
        <w:jc w:val="both"/>
        <w:rPr>
          <w:sz w:val="24"/>
          <w:szCs w:val="24"/>
        </w:rPr>
      </w:pPr>
      <w:r w:rsidRPr="00930981">
        <w:rPr>
          <w:color w:val="000000"/>
          <w:sz w:val="24"/>
          <w:szCs w:val="24"/>
          <w:shd w:val="clear" w:color="auto" w:fill="FFFFFF"/>
        </w:rPr>
        <w:t>9. Czas reklamacji nie może przekroczyć 48 godz. od daty zgłoszenia reklamacji (zgłoszenie dokonane w formie telefonicznej, e-mail, fax), do momentu jej rozpatrzenia. Wymiana przed upływem kolejnych 48 godzin. Po tym czasie, gdy nadal nie otrzymano pełnowartościowego asortymentu lub w sytuacji, gdy powtórnie, w ramach wymiany otrzymano uszkodzony, niepełnowartościowy asortyment, w efekcie powodując zatrzymanie ciągłości pracy laboratorium, Zamawiający ma prawo zlecić wykonanie badania ogólnego moczu do Podwykonawcy wskazanego przez siebie. Wykonawca pokrywa koszt wykonania badania ogólnego moczu według cennika obowiązującego u Podwykonawcy, łącznie z kosztem transportu związanym z dostarczeniem materiału do badań do Podwykonawcy oraz odbiorem wyników w wersji papierowej.</w:t>
      </w:r>
    </w:p>
    <w:p w:rsidR="00930981" w:rsidRPr="00930981" w:rsidRDefault="00930981" w:rsidP="00930981">
      <w:pPr>
        <w:pStyle w:val="western"/>
        <w:spacing w:before="0" w:beforeAutospacing="0" w:after="0" w:line="276" w:lineRule="auto"/>
        <w:jc w:val="both"/>
        <w:rPr>
          <w:sz w:val="24"/>
          <w:szCs w:val="24"/>
        </w:rPr>
      </w:pPr>
      <w:r w:rsidRPr="00930981">
        <w:rPr>
          <w:color w:val="000000"/>
          <w:sz w:val="24"/>
          <w:szCs w:val="24"/>
          <w:shd w:val="clear" w:color="auto" w:fill="FFFFFF"/>
        </w:rPr>
        <w:t>10. Wykonawca zobowiązuje się uzupełnić braki ilościowe – jeżeli takie zostaną stwierdzone przez Zamawiającego – w otrzymanym towarze w terminie do 48 godzin w dni robocze od momentu zgłoszenia telefonicznego, faxem, e-mail. Po upływie tego czasu, gdy nadal nie zostały uzupełnione braki ilościowe, Zamawiający ma prawo zlecić wykonanie badania ogólnego moczu do Podwykonawcy wskazanego przez siebie. Wykonawca pokrywa koszt wykonania badania ogólnego moczu, według cennika Podwykonawcy, łącznie z kosztem transportu związanym z dostarczeniem materiału do badań do Podwykonawcy oraz odbiorem wyników w wersji papierowej.</w:t>
      </w:r>
    </w:p>
    <w:p w:rsidR="00930981" w:rsidRPr="00930981" w:rsidRDefault="00930981" w:rsidP="00930981">
      <w:pPr>
        <w:pStyle w:val="western"/>
        <w:spacing w:before="0" w:beforeAutospacing="0" w:after="0" w:line="276" w:lineRule="auto"/>
        <w:rPr>
          <w:sz w:val="24"/>
          <w:szCs w:val="24"/>
        </w:rPr>
      </w:pPr>
      <w:r w:rsidRPr="00930981">
        <w:rPr>
          <w:color w:val="000000"/>
          <w:sz w:val="24"/>
          <w:szCs w:val="24"/>
          <w:shd w:val="clear" w:color="auto" w:fill="FFFFFF"/>
        </w:rPr>
        <w:t xml:space="preserve">11. Dostarczenie wraz z pierwszą dostawą, dla oferowanego asortymentu kart charakterystyki substancji niebezpiecznych w wersji papierowej. </w:t>
      </w:r>
    </w:p>
    <w:p w:rsidR="00930981" w:rsidRPr="00930981" w:rsidRDefault="00930981" w:rsidP="00930981">
      <w:pPr>
        <w:pStyle w:val="western"/>
        <w:spacing w:before="0" w:beforeAutospacing="0" w:after="0" w:line="276" w:lineRule="auto"/>
        <w:rPr>
          <w:sz w:val="24"/>
          <w:szCs w:val="24"/>
        </w:rPr>
      </w:pPr>
      <w:r w:rsidRPr="00930981">
        <w:rPr>
          <w:color w:val="000000"/>
          <w:sz w:val="24"/>
          <w:szCs w:val="24"/>
          <w:shd w:val="clear" w:color="auto" w:fill="FFFFFF"/>
        </w:rPr>
        <w:t>12. Paski, materiały kontrolne muszą posiadać znak CE.</w:t>
      </w:r>
    </w:p>
    <w:p w:rsidR="00930981" w:rsidRPr="00930981" w:rsidRDefault="00930981" w:rsidP="00930981">
      <w:pPr>
        <w:pStyle w:val="western"/>
        <w:spacing w:before="0" w:beforeAutospacing="0" w:after="0" w:line="276" w:lineRule="auto"/>
        <w:rPr>
          <w:sz w:val="24"/>
          <w:szCs w:val="24"/>
        </w:rPr>
      </w:pPr>
      <w:r w:rsidRPr="00930981">
        <w:rPr>
          <w:color w:val="000000"/>
          <w:sz w:val="24"/>
          <w:szCs w:val="24"/>
          <w:shd w:val="clear" w:color="auto" w:fill="FFFFFF"/>
        </w:rPr>
        <w:t>13</w:t>
      </w:r>
      <w:r w:rsidRPr="00930981">
        <w:rPr>
          <w:color w:val="000000"/>
          <w:sz w:val="24"/>
          <w:szCs w:val="24"/>
        </w:rPr>
        <w:t>. Materiał kontrolny wewnątrzlaboratoryjny w postaci ciekłej.</w:t>
      </w:r>
    </w:p>
    <w:p w:rsidR="00FA45B5" w:rsidRDefault="00FA45B5">
      <w:pPr>
        <w:spacing w:line="360" w:lineRule="auto"/>
        <w:ind w:left="-142" w:right="-1368"/>
        <w:rPr>
          <w:rFonts w:cs="Tahoma"/>
          <w:b/>
          <w:bCs/>
          <w:color w:val="000000"/>
          <w:u w:val="single"/>
        </w:rPr>
      </w:pPr>
    </w:p>
    <w:p w:rsidR="00930981" w:rsidRDefault="00930981">
      <w:pPr>
        <w:spacing w:line="360" w:lineRule="auto"/>
        <w:ind w:left="-142" w:right="-1368"/>
        <w:rPr>
          <w:rFonts w:cs="Tahoma"/>
          <w:b/>
          <w:bCs/>
          <w:color w:val="000000"/>
          <w:sz w:val="24"/>
          <w:szCs w:val="24"/>
          <w:u w:val="single"/>
        </w:rPr>
      </w:pPr>
    </w:p>
    <w:p w:rsidR="00930981" w:rsidRPr="00930981" w:rsidRDefault="00930981" w:rsidP="00930981">
      <w:pPr>
        <w:overflowPunct/>
        <w:textAlignment w:val="auto"/>
        <w:rPr>
          <w:sz w:val="24"/>
          <w:szCs w:val="24"/>
        </w:rPr>
      </w:pPr>
      <w:r w:rsidRPr="00930981">
        <w:rPr>
          <w:b/>
          <w:bCs/>
          <w:color w:val="000000"/>
          <w:sz w:val="24"/>
          <w:szCs w:val="24"/>
          <w:u w:val="single"/>
        </w:rPr>
        <w:t>WARUNKI GRANICZNE – CZYTNIK PASKÓW</w:t>
      </w:r>
    </w:p>
    <w:tbl>
      <w:tblPr>
        <w:tblW w:w="13947" w:type="dxa"/>
        <w:tblCellSpacing w:w="0" w:type="dxa"/>
        <w:tblCellMar>
          <w:top w:w="45" w:type="dxa"/>
          <w:left w:w="45" w:type="dxa"/>
          <w:bottom w:w="45" w:type="dxa"/>
          <w:right w:w="45" w:type="dxa"/>
        </w:tblCellMar>
        <w:tblLook w:val="04A0"/>
      </w:tblPr>
      <w:tblGrid>
        <w:gridCol w:w="645"/>
        <w:gridCol w:w="6214"/>
        <w:gridCol w:w="5103"/>
        <w:gridCol w:w="1985"/>
      </w:tblGrid>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b/>
                <w:bCs/>
                <w:color w:val="000000"/>
                <w:sz w:val="24"/>
                <w:szCs w:val="24"/>
              </w:rPr>
              <w:t>L.p.</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b/>
                <w:bCs/>
                <w:color w:val="000000"/>
                <w:sz w:val="24"/>
                <w:szCs w:val="24"/>
              </w:rPr>
              <w:t>PARAMETR GRANICZNY</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b/>
                <w:bCs/>
                <w:color w:val="000000"/>
                <w:sz w:val="24"/>
                <w:szCs w:val="24"/>
              </w:rPr>
              <w:t>WYMÓG</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vAlign w:val="center"/>
            <w:hideMark/>
          </w:tcPr>
          <w:p w:rsidR="00930981" w:rsidRPr="00930981" w:rsidRDefault="00930981" w:rsidP="00930981">
            <w:pPr>
              <w:overflowPunct/>
              <w:jc w:val="center"/>
              <w:textAlignment w:val="auto"/>
              <w:rPr>
                <w:sz w:val="24"/>
                <w:szCs w:val="24"/>
              </w:rPr>
            </w:pPr>
            <w:r w:rsidRPr="00930981">
              <w:rPr>
                <w:b/>
                <w:bCs/>
                <w:color w:val="000000"/>
                <w:sz w:val="24"/>
                <w:szCs w:val="24"/>
              </w:rPr>
              <w:t>Informacja o spełnianiu warunku granicznego - należy wpisać słowo „TAK” lub „NIE”</w:t>
            </w: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1</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sz w:val="24"/>
                <w:szCs w:val="24"/>
              </w:rPr>
              <w:t xml:space="preserve">Czytnik pasków do analizy moczu nie starszy niż </w:t>
            </w:r>
            <w:r w:rsidRPr="00930981">
              <w:rPr>
                <w:sz w:val="24"/>
                <w:szCs w:val="24"/>
                <w:shd w:val="clear" w:color="auto" w:fill="FFFFFF"/>
              </w:rPr>
              <w:t>z 2016</w:t>
            </w:r>
            <w:r>
              <w:rPr>
                <w:sz w:val="24"/>
                <w:szCs w:val="24"/>
                <w:shd w:val="clear" w:color="auto" w:fill="FFFFFF"/>
              </w:rPr>
              <w:t xml:space="preserve"> r. </w:t>
            </w:r>
            <w:r w:rsidRPr="00930981">
              <w:rPr>
                <w:sz w:val="24"/>
                <w:szCs w:val="24"/>
                <w:shd w:val="clear" w:color="auto" w:fill="FFFFFF"/>
              </w:rPr>
              <w:t>(po</w:t>
            </w:r>
            <w:r w:rsidRPr="00930981">
              <w:rPr>
                <w:sz w:val="24"/>
                <w:szCs w:val="24"/>
              </w:rPr>
              <w:t>siadający udokumentowany przegląd serwisowy, wraz z udokumentowaną wymianą części podlegających okresowym wymianom lub zużyciu).</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Default="00930981" w:rsidP="00930981">
            <w:pPr>
              <w:overflowPunct/>
              <w:textAlignment w:val="auto"/>
              <w:rPr>
                <w:sz w:val="24"/>
                <w:szCs w:val="24"/>
              </w:rPr>
            </w:pPr>
          </w:p>
          <w:p w:rsidR="00807423" w:rsidRPr="00930981" w:rsidRDefault="00807423" w:rsidP="00930981">
            <w:pPr>
              <w:jc w:val="right"/>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2</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color w:val="000000"/>
                <w:sz w:val="24"/>
                <w:szCs w:val="24"/>
              </w:rPr>
              <w:t xml:space="preserve">Półilościowy odczyt min. 10 parametrów fizyko-chemicznych moczu. </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3</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sz w:val="24"/>
                <w:szCs w:val="24"/>
              </w:rPr>
              <w:t>Automatyczne o</w:t>
            </w:r>
            <w:r w:rsidRPr="00930981">
              <w:rPr>
                <w:color w:val="000000"/>
                <w:sz w:val="24"/>
                <w:szCs w:val="24"/>
                <w:shd w:val="clear" w:color="auto" w:fill="FFFFFF"/>
              </w:rPr>
              <w:t xml:space="preserve">kreślenie lub predefiniowanie barwy moczu i klarowności (możliwość wpisania poprzez wybór opcji w czytniku i skanowania kodu) </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4</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color w:val="000000"/>
                <w:sz w:val="24"/>
                <w:szCs w:val="24"/>
                <w:shd w:val="clear" w:color="auto" w:fill="FFFFFF"/>
              </w:rPr>
              <w:t>Wydajność minimum 400 oznaczeń/godzinę.</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5</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color w:val="000000"/>
                <w:sz w:val="24"/>
                <w:szCs w:val="24"/>
                <w:shd w:val="clear" w:color="auto" w:fill="FFFFFF"/>
              </w:rPr>
              <w:t xml:space="preserve">Autokalibracja bez dodatkowych pasków kalibracyjnych podczas każdorazowego uruchomienia </w:t>
            </w:r>
          </w:p>
          <w:p w:rsidR="00930981" w:rsidRPr="00930981" w:rsidRDefault="00930981" w:rsidP="00930981">
            <w:pPr>
              <w:overflowPunct/>
              <w:textAlignment w:val="auto"/>
              <w:rPr>
                <w:sz w:val="24"/>
                <w:szCs w:val="24"/>
              </w:rPr>
            </w:pPr>
            <w:r w:rsidRPr="00930981">
              <w:rPr>
                <w:color w:val="000000"/>
                <w:sz w:val="24"/>
                <w:szCs w:val="24"/>
                <w:shd w:val="clear" w:color="auto" w:fill="FFFFFF"/>
              </w:rPr>
              <w:t xml:space="preserve">urządzenia (automatyczny proces sprawdzania poprawności działania analizatora każdorazowo </w:t>
            </w:r>
          </w:p>
          <w:p w:rsidR="00930981" w:rsidRPr="00930981" w:rsidRDefault="00930981" w:rsidP="00930981">
            <w:pPr>
              <w:overflowPunct/>
              <w:textAlignment w:val="auto"/>
              <w:rPr>
                <w:sz w:val="24"/>
                <w:szCs w:val="24"/>
              </w:rPr>
            </w:pPr>
            <w:r w:rsidRPr="00930981">
              <w:rPr>
                <w:color w:val="000000"/>
                <w:sz w:val="24"/>
                <w:szCs w:val="24"/>
                <w:shd w:val="clear" w:color="auto" w:fill="FFFFFF"/>
              </w:rPr>
              <w:t>przy włączeniu)</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6</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color w:val="000000"/>
                <w:sz w:val="24"/>
                <w:szCs w:val="24"/>
                <w:shd w:val="clear" w:color="auto" w:fill="FFFFFF"/>
              </w:rPr>
              <w:t>Kontrola systemu optycznego aparatu. W przypadku konieczności stosowania pasków kontrolnych, dostarczenie ich w ilości wymaganej na cały okres trwania umowy, w ramach czynszu dzierżawnego.</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shd w:val="clear" w:color="auto" w:fill="FFFFFF"/>
              </w:rPr>
              <w:t>7</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color w:val="000000"/>
                <w:sz w:val="24"/>
                <w:szCs w:val="24"/>
                <w:shd w:val="clear" w:color="auto" w:fill="FFFFFF"/>
              </w:rPr>
              <w:t>Flagowanie wyników patologicznych.</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shd w:val="clear" w:color="auto" w:fill="FFFFFF"/>
              </w:rPr>
              <w:t>8</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shd w:val="clear" w:color="auto" w:fill="FFFFFF"/>
              <w:overflowPunct/>
              <w:textAlignment w:val="auto"/>
              <w:rPr>
                <w:sz w:val="24"/>
                <w:szCs w:val="24"/>
              </w:rPr>
            </w:pPr>
            <w:r w:rsidRPr="00930981">
              <w:rPr>
                <w:color w:val="000000"/>
                <w:sz w:val="24"/>
                <w:szCs w:val="24"/>
                <w:shd w:val="clear" w:color="auto" w:fill="FFFFFF"/>
              </w:rPr>
              <w:t>Możliwość wprowadzenia numeru ID próbki manualnie i czytnikiem kodów kreskowych</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9</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sz w:val="24"/>
                <w:szCs w:val="24"/>
              </w:rPr>
              <w:t xml:space="preserve">Możliwość </w:t>
            </w:r>
            <w:r w:rsidRPr="00930981">
              <w:rPr>
                <w:color w:val="000000"/>
                <w:sz w:val="24"/>
                <w:szCs w:val="24"/>
              </w:rPr>
              <w:t>wyrażania wyniku w wybranych jednostkach.</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10</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color w:val="000000"/>
                <w:sz w:val="24"/>
                <w:szCs w:val="24"/>
              </w:rPr>
              <w:t xml:space="preserve">Pamięć </w:t>
            </w:r>
            <w:r w:rsidRPr="00930981">
              <w:rPr>
                <w:color w:val="000000"/>
                <w:sz w:val="24"/>
                <w:szCs w:val="24"/>
                <w:shd w:val="clear" w:color="auto" w:fill="FFFFFF"/>
              </w:rPr>
              <w:t>minimum 800 ostatnich pomiarów.</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11</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color w:val="000000"/>
                <w:sz w:val="24"/>
                <w:szCs w:val="24"/>
              </w:rPr>
              <w:t>Identyfikacja próbki za pomocą kodu kreskowego.</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12</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sz w:val="24"/>
                <w:szCs w:val="24"/>
                <w:shd w:val="clear" w:color="auto" w:fill="FFFFFF"/>
              </w:rPr>
              <w:t>Aparat z podłączeniem i transmisją danych d</w:t>
            </w:r>
            <w:r w:rsidRPr="00930981">
              <w:rPr>
                <w:sz w:val="24"/>
                <w:szCs w:val="24"/>
              </w:rPr>
              <w:t>o LIS. Koszt podłączenia ponosić będzie Wykonawca. Obecnie laboratorium posiada oprogramowanie firmy AS</w:t>
            </w:r>
            <w:r w:rsidRPr="00930981">
              <w:rPr>
                <w:color w:val="000000"/>
                <w:sz w:val="24"/>
                <w:szCs w:val="24"/>
              </w:rPr>
              <w:t>S</w:t>
            </w:r>
            <w:r w:rsidRPr="00930981">
              <w:rPr>
                <w:sz w:val="24"/>
                <w:szCs w:val="24"/>
              </w:rPr>
              <w:t xml:space="preserve">ECO INFOMEDICA. </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13</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color w:val="000000"/>
                <w:sz w:val="24"/>
                <w:szCs w:val="24"/>
              </w:rPr>
              <w:t>Instrukcja obsługi w zakresie eksploatacji i konserwacji czytnika w języku polskim.</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14</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color w:val="000000"/>
                <w:sz w:val="24"/>
                <w:szCs w:val="24"/>
              </w:rPr>
              <w:t xml:space="preserve">Dostawa, instalacja, uruchomienie, deinstalacja czytnika na koszt Wykonawcy. </w:t>
            </w:r>
            <w:r w:rsidRPr="00930981">
              <w:rPr>
                <w:sz w:val="24"/>
                <w:szCs w:val="24"/>
              </w:rPr>
              <w:t>Dostarczenie wraz z aparatem paszportu technicznego.</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15</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color w:val="000000"/>
                <w:sz w:val="24"/>
                <w:szCs w:val="24"/>
              </w:rPr>
              <w:t>Wybrany Oferent z zachowaniem wszelkich środków bezpieczeństwa przeprowadzi teoretyczne i praktyczne przeszkolenie personelu Zakładu Diagnostyki Laboratoryjnej</w:t>
            </w:r>
            <w:r w:rsidRPr="00930981">
              <w:rPr>
                <w:sz w:val="24"/>
                <w:szCs w:val="24"/>
              </w:rPr>
              <w:t xml:space="preserve"> </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16</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sz w:val="24"/>
                <w:szCs w:val="24"/>
              </w:rPr>
              <w:t>Usunięcie</w:t>
            </w:r>
            <w:r w:rsidRPr="00930981">
              <w:rPr>
                <w:color w:val="000000"/>
                <w:sz w:val="24"/>
                <w:szCs w:val="24"/>
              </w:rPr>
              <w:t xml:space="preserve"> awarii do 48 godzin od chwili jej zgłoszenia telefonicznego, faksem lub mailem. Należy podać numer telefonu pod który należy zgłosić awarię w dni robocze i ustawowo wolne od pracy.</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17</w:t>
            </w:r>
          </w:p>
        </w:tc>
        <w:tc>
          <w:tcPr>
            <w:tcW w:w="6214" w:type="dxa"/>
            <w:tcBorders>
              <w:top w:val="single" w:sz="6" w:space="0" w:color="000001"/>
              <w:left w:val="single" w:sz="6" w:space="0" w:color="000001"/>
              <w:bottom w:val="single" w:sz="6" w:space="0" w:color="000001"/>
              <w:right w:val="single" w:sz="6" w:space="0" w:color="000001"/>
            </w:tcBorders>
            <w:shd w:val="clear" w:color="auto" w:fill="FFFFFF"/>
            <w:tcMar>
              <w:top w:w="57" w:type="dxa"/>
              <w:left w:w="57" w:type="dxa"/>
              <w:bottom w:w="57" w:type="dxa"/>
              <w:right w:w="57" w:type="dxa"/>
            </w:tcMar>
            <w:hideMark/>
          </w:tcPr>
          <w:p w:rsidR="00930981" w:rsidRPr="00930981" w:rsidRDefault="00930981" w:rsidP="00930981">
            <w:pPr>
              <w:overflowPunct/>
              <w:textAlignment w:val="auto"/>
              <w:rPr>
                <w:sz w:val="24"/>
                <w:szCs w:val="24"/>
              </w:rPr>
            </w:pPr>
            <w:r w:rsidRPr="00930981">
              <w:rPr>
                <w:sz w:val="24"/>
                <w:szCs w:val="24"/>
              </w:rPr>
              <w:t>Przeglądy serwisowe obejmujące wymianę niezbędnych części zużywalnych w ramach opłaty dzierżawnej.</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18</w:t>
            </w:r>
          </w:p>
        </w:tc>
        <w:tc>
          <w:tcPr>
            <w:tcW w:w="6214" w:type="dxa"/>
            <w:tcBorders>
              <w:top w:val="nil"/>
              <w:left w:val="single" w:sz="6" w:space="0" w:color="000001"/>
              <w:bottom w:val="single" w:sz="6" w:space="0" w:color="000001"/>
              <w:right w:val="single" w:sz="6" w:space="0" w:color="000001"/>
            </w:tcBorders>
            <w:shd w:val="clear" w:color="auto" w:fill="FFFFFF"/>
            <w:tcMar>
              <w:top w:w="0" w:type="dxa"/>
              <w:left w:w="57" w:type="dxa"/>
              <w:bottom w:w="57" w:type="dxa"/>
              <w:right w:w="57" w:type="dxa"/>
            </w:tcMar>
            <w:hideMark/>
          </w:tcPr>
          <w:p w:rsidR="00930981" w:rsidRPr="00930981" w:rsidRDefault="00930981" w:rsidP="00930981">
            <w:pPr>
              <w:overflowPunct/>
              <w:textAlignment w:val="auto"/>
              <w:rPr>
                <w:sz w:val="24"/>
                <w:szCs w:val="24"/>
              </w:rPr>
            </w:pPr>
            <w:r w:rsidRPr="00930981">
              <w:rPr>
                <w:color w:val="000000"/>
                <w:sz w:val="24"/>
                <w:szCs w:val="24"/>
              </w:rPr>
              <w:t>Zagwarantowanie czytnika zastępczego o takich samych parametrach na czas naprawy trwającej dłużej niż 2 dni robocze.</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19</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color w:val="000000"/>
                <w:sz w:val="24"/>
                <w:szCs w:val="24"/>
                <w:shd w:val="clear" w:color="auto" w:fill="FFFFFF"/>
              </w:rPr>
              <w:t>Zaoferowany czytnik pasków do analizy moczu oraz paski do analizy moczu muszą pochodzić od jednego producenta.</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20</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color w:val="000000"/>
                <w:sz w:val="24"/>
                <w:szCs w:val="24"/>
                <w:shd w:val="clear" w:color="auto" w:fill="FFFFFF"/>
              </w:rPr>
              <w:t>Przedstawić w ofercie harmonogram okresowych przeglądów serwisowych.</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21</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color w:val="000000"/>
                <w:sz w:val="24"/>
                <w:szCs w:val="24"/>
                <w:shd w:val="clear" w:color="auto" w:fill="FFFFFF"/>
              </w:rPr>
              <w:t xml:space="preserve">Automatyczny transport i usuwanie zużytych pasków do zamkniętego pojemnika. </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22</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sz w:val="24"/>
                <w:szCs w:val="24"/>
              </w:rPr>
              <w:t>Dostarczenie wraz z czytnikiem mikroskopu laboratoryjnego do oceny osadu moczu z zapewnieniem gwarancji, w tym wszelkich napraw urządzenia przez okres trwania umowy. Parametry mikroskopu laboratoryjnego przedstawiono poniżej:</w:t>
            </w:r>
          </w:p>
          <w:p w:rsidR="00930981" w:rsidRPr="00930981" w:rsidRDefault="00930981" w:rsidP="00930981">
            <w:pPr>
              <w:overflowPunct/>
              <w:textAlignment w:val="auto"/>
              <w:rPr>
                <w:sz w:val="24"/>
                <w:szCs w:val="24"/>
              </w:rPr>
            </w:pPr>
            <w:r w:rsidRPr="00930981">
              <w:rPr>
                <w:sz w:val="24"/>
                <w:szCs w:val="24"/>
              </w:rPr>
              <w:t>- statyw bez ostrych krawędzi,</w:t>
            </w:r>
          </w:p>
          <w:p w:rsidR="00930981" w:rsidRPr="00930981" w:rsidRDefault="00930981" w:rsidP="00930981">
            <w:pPr>
              <w:overflowPunct/>
              <w:textAlignment w:val="auto"/>
              <w:rPr>
                <w:sz w:val="24"/>
                <w:szCs w:val="24"/>
              </w:rPr>
            </w:pPr>
            <w:r w:rsidRPr="00930981">
              <w:rPr>
                <w:sz w:val="24"/>
                <w:szCs w:val="24"/>
              </w:rPr>
              <w:t>- głowica binokularowa,</w:t>
            </w:r>
          </w:p>
          <w:p w:rsidR="00930981" w:rsidRPr="00930981" w:rsidRDefault="00930981" w:rsidP="00930981">
            <w:pPr>
              <w:overflowPunct/>
              <w:textAlignment w:val="auto"/>
              <w:rPr>
                <w:sz w:val="24"/>
                <w:szCs w:val="24"/>
              </w:rPr>
            </w:pPr>
            <w:r w:rsidRPr="00930981">
              <w:rPr>
                <w:sz w:val="24"/>
                <w:szCs w:val="24"/>
              </w:rPr>
              <w:t>- obiektyw: 4x, 10x, 40x, 100x (imersja)</w:t>
            </w:r>
          </w:p>
          <w:p w:rsidR="00930981" w:rsidRPr="00930981" w:rsidRDefault="00930981" w:rsidP="00930981">
            <w:pPr>
              <w:overflowPunct/>
              <w:textAlignment w:val="auto"/>
              <w:rPr>
                <w:sz w:val="24"/>
                <w:szCs w:val="24"/>
              </w:rPr>
            </w:pPr>
            <w:r w:rsidRPr="00930981">
              <w:rPr>
                <w:sz w:val="24"/>
                <w:szCs w:val="24"/>
              </w:rPr>
              <w:t>- odległość pomiędzy źrenicami min. od 45 do 70mm</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23</w:t>
            </w:r>
          </w:p>
        </w:tc>
        <w:tc>
          <w:tcPr>
            <w:tcW w:w="6214"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r w:rsidRPr="00930981">
              <w:rPr>
                <w:sz w:val="24"/>
                <w:szCs w:val="24"/>
              </w:rPr>
              <w:t>Dostarczenie wraz z czytnikiem, termometra i wilgotnościomierza w celu monitorowania zewnętrznych warunków pracy czytnika oraz warunków przechowywania paków</w:t>
            </w:r>
          </w:p>
        </w:tc>
        <w:tc>
          <w:tcPr>
            <w:tcW w:w="5103" w:type="dxa"/>
            <w:tcBorders>
              <w:top w:val="single" w:sz="6" w:space="0" w:color="000001"/>
              <w:left w:val="single" w:sz="6" w:space="0" w:color="000001"/>
              <w:bottom w:val="single" w:sz="6" w:space="0" w:color="000001"/>
              <w:right w:val="nil"/>
            </w:tcBorders>
            <w:shd w:val="clear" w:color="auto" w:fill="FFFFFF"/>
            <w:tcMar>
              <w:top w:w="57"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top w:w="57"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nil"/>
              <w:left w:val="single" w:sz="6" w:space="0" w:color="000001"/>
              <w:bottom w:val="single" w:sz="6" w:space="0" w:color="000001"/>
              <w:right w:val="nil"/>
            </w:tcBorders>
            <w:shd w:val="clear" w:color="auto" w:fill="FFFFFF"/>
            <w:tcMar>
              <w:top w:w="0"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24</w:t>
            </w:r>
          </w:p>
        </w:tc>
        <w:tc>
          <w:tcPr>
            <w:tcW w:w="6214" w:type="dxa"/>
            <w:tcBorders>
              <w:top w:val="nil"/>
              <w:left w:val="single" w:sz="6" w:space="0" w:color="000001"/>
              <w:bottom w:val="single" w:sz="6" w:space="0" w:color="000001"/>
              <w:right w:val="nil"/>
            </w:tcBorders>
            <w:shd w:val="clear" w:color="auto" w:fill="FFFFFF"/>
            <w:tcMar>
              <w:top w:w="0" w:type="dxa"/>
              <w:left w:w="40" w:type="dxa"/>
              <w:bottom w:w="57" w:type="dxa"/>
              <w:right w:w="0" w:type="dxa"/>
            </w:tcMar>
            <w:hideMark/>
          </w:tcPr>
          <w:p w:rsidR="00930981" w:rsidRPr="00930981" w:rsidRDefault="00930981" w:rsidP="00930981">
            <w:pPr>
              <w:overflowPunct/>
              <w:textAlignment w:val="auto"/>
              <w:rPr>
                <w:sz w:val="24"/>
                <w:szCs w:val="24"/>
              </w:rPr>
            </w:pPr>
            <w:r w:rsidRPr="00930981">
              <w:rPr>
                <w:sz w:val="24"/>
                <w:szCs w:val="24"/>
              </w:rPr>
              <w:t xml:space="preserve">Czytnik posiadający procedurę automatycznego wykrywania zapełnianego pojemnika na zużyte paski poprzez wyświetlenie ostrzeżenia na ekranie. </w:t>
            </w:r>
          </w:p>
        </w:tc>
        <w:tc>
          <w:tcPr>
            <w:tcW w:w="5103" w:type="dxa"/>
            <w:tcBorders>
              <w:top w:val="nil"/>
              <w:left w:val="single" w:sz="6" w:space="0" w:color="000001"/>
              <w:bottom w:val="single" w:sz="6" w:space="0" w:color="000001"/>
              <w:right w:val="nil"/>
            </w:tcBorders>
            <w:shd w:val="clear" w:color="auto" w:fill="FFFFFF"/>
            <w:tcMar>
              <w:top w:w="0"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nil"/>
              <w:left w:val="single" w:sz="6" w:space="0" w:color="000001"/>
              <w:bottom w:val="single" w:sz="6" w:space="0" w:color="000001"/>
              <w:right w:val="single" w:sz="6" w:space="0" w:color="000001"/>
            </w:tcBorders>
            <w:shd w:val="clear" w:color="auto" w:fill="FFFFFF"/>
            <w:tcMar>
              <w:top w:w="0" w:type="dxa"/>
              <w:left w:w="40" w:type="dxa"/>
              <w:bottom w:w="57" w:type="dxa"/>
              <w:right w:w="57" w:type="dxa"/>
            </w:tcMar>
            <w:hideMark/>
          </w:tcPr>
          <w:p w:rsidR="00930981" w:rsidRPr="00930981" w:rsidRDefault="00930981" w:rsidP="00930981">
            <w:pPr>
              <w:overflowPunct/>
              <w:textAlignment w:val="auto"/>
              <w:rPr>
                <w:sz w:val="24"/>
                <w:szCs w:val="24"/>
              </w:rPr>
            </w:pPr>
          </w:p>
        </w:tc>
      </w:tr>
      <w:tr w:rsidR="00930981" w:rsidRPr="00930981" w:rsidTr="00930981">
        <w:trPr>
          <w:tblCellSpacing w:w="0" w:type="dxa"/>
        </w:trPr>
        <w:tc>
          <w:tcPr>
            <w:tcW w:w="645" w:type="dxa"/>
            <w:tcBorders>
              <w:top w:val="nil"/>
              <w:left w:val="single" w:sz="6" w:space="0" w:color="000001"/>
              <w:bottom w:val="single" w:sz="6" w:space="0" w:color="000001"/>
              <w:right w:val="nil"/>
            </w:tcBorders>
            <w:shd w:val="clear" w:color="auto" w:fill="FFFFFF"/>
            <w:tcMar>
              <w:top w:w="0" w:type="dxa"/>
              <w:left w:w="40" w:type="dxa"/>
              <w:bottom w:w="57" w:type="dxa"/>
              <w:right w:w="0" w:type="dxa"/>
            </w:tcMar>
            <w:vAlign w:val="center"/>
            <w:hideMark/>
          </w:tcPr>
          <w:p w:rsidR="00930981" w:rsidRPr="00930981" w:rsidRDefault="00930981" w:rsidP="00930981">
            <w:pPr>
              <w:overflowPunct/>
              <w:jc w:val="center"/>
              <w:textAlignment w:val="auto"/>
              <w:rPr>
                <w:sz w:val="24"/>
                <w:szCs w:val="24"/>
              </w:rPr>
            </w:pPr>
            <w:r w:rsidRPr="00930981">
              <w:rPr>
                <w:sz w:val="24"/>
                <w:szCs w:val="24"/>
              </w:rPr>
              <w:t>25</w:t>
            </w:r>
          </w:p>
        </w:tc>
        <w:tc>
          <w:tcPr>
            <w:tcW w:w="6214" w:type="dxa"/>
            <w:tcBorders>
              <w:top w:val="nil"/>
              <w:left w:val="single" w:sz="6" w:space="0" w:color="000001"/>
              <w:bottom w:val="single" w:sz="6" w:space="0" w:color="000001"/>
              <w:right w:val="nil"/>
            </w:tcBorders>
            <w:shd w:val="clear" w:color="auto" w:fill="FFFFFF"/>
            <w:tcMar>
              <w:top w:w="0" w:type="dxa"/>
              <w:left w:w="40" w:type="dxa"/>
              <w:bottom w:w="57" w:type="dxa"/>
              <w:right w:w="0" w:type="dxa"/>
            </w:tcMar>
            <w:hideMark/>
          </w:tcPr>
          <w:p w:rsidR="00930981" w:rsidRPr="00930981" w:rsidRDefault="00930981" w:rsidP="00930981">
            <w:pPr>
              <w:overflowPunct/>
              <w:textAlignment w:val="auto"/>
              <w:rPr>
                <w:sz w:val="24"/>
                <w:szCs w:val="24"/>
              </w:rPr>
            </w:pPr>
            <w:r w:rsidRPr="00930981">
              <w:rPr>
                <w:sz w:val="24"/>
                <w:szCs w:val="24"/>
              </w:rPr>
              <w:t>Dostarczenie wraz z czytnikiem, automatycznych manualnych pipet laboratoryjnych jednokanałowych do pracy manualnej w ilości:</w:t>
            </w:r>
          </w:p>
          <w:p w:rsidR="00930981" w:rsidRPr="00930981" w:rsidRDefault="00930981" w:rsidP="00930981">
            <w:pPr>
              <w:overflowPunct/>
              <w:textAlignment w:val="auto"/>
              <w:rPr>
                <w:sz w:val="24"/>
                <w:szCs w:val="24"/>
              </w:rPr>
            </w:pPr>
            <w:r w:rsidRPr="00930981">
              <w:rPr>
                <w:sz w:val="24"/>
                <w:szCs w:val="24"/>
              </w:rPr>
              <w:t>- 2 szt</w:t>
            </w:r>
            <w:r>
              <w:rPr>
                <w:sz w:val="24"/>
                <w:szCs w:val="24"/>
              </w:rPr>
              <w:t>.</w:t>
            </w:r>
            <w:r w:rsidRPr="00930981">
              <w:rPr>
                <w:sz w:val="24"/>
                <w:szCs w:val="24"/>
              </w:rPr>
              <w:t xml:space="preserve"> o pojemności 100 ul – 1000 ul (pipety zmienno</w:t>
            </w:r>
            <w:r>
              <w:rPr>
                <w:sz w:val="24"/>
                <w:szCs w:val="24"/>
              </w:rPr>
              <w:t xml:space="preserve"> </w:t>
            </w:r>
            <w:r w:rsidRPr="00930981">
              <w:rPr>
                <w:sz w:val="24"/>
                <w:szCs w:val="24"/>
              </w:rPr>
              <w:t>pojemnościowe)</w:t>
            </w:r>
          </w:p>
          <w:p w:rsidR="00930981" w:rsidRPr="00930981" w:rsidRDefault="00930981" w:rsidP="00930981">
            <w:pPr>
              <w:overflowPunct/>
              <w:textAlignment w:val="auto"/>
              <w:rPr>
                <w:sz w:val="24"/>
                <w:szCs w:val="24"/>
              </w:rPr>
            </w:pPr>
            <w:r w:rsidRPr="00930981">
              <w:rPr>
                <w:sz w:val="24"/>
                <w:szCs w:val="24"/>
              </w:rPr>
              <w:t>- 1 szt</w:t>
            </w:r>
            <w:r>
              <w:rPr>
                <w:sz w:val="24"/>
                <w:szCs w:val="24"/>
              </w:rPr>
              <w:t>.</w:t>
            </w:r>
            <w:r w:rsidRPr="00930981">
              <w:rPr>
                <w:sz w:val="24"/>
                <w:szCs w:val="24"/>
              </w:rPr>
              <w:t xml:space="preserve"> o pojemności 1000 ul (pipeta stało</w:t>
            </w:r>
            <w:r>
              <w:rPr>
                <w:sz w:val="24"/>
                <w:szCs w:val="24"/>
              </w:rPr>
              <w:t xml:space="preserve"> </w:t>
            </w:r>
            <w:r w:rsidRPr="00930981">
              <w:rPr>
                <w:sz w:val="24"/>
                <w:szCs w:val="24"/>
              </w:rPr>
              <w:t>pojemnościowa)</w:t>
            </w:r>
          </w:p>
          <w:p w:rsidR="00930981" w:rsidRPr="00930981" w:rsidRDefault="00930981" w:rsidP="00930981">
            <w:pPr>
              <w:overflowPunct/>
              <w:textAlignment w:val="auto"/>
              <w:rPr>
                <w:sz w:val="24"/>
                <w:szCs w:val="24"/>
              </w:rPr>
            </w:pPr>
            <w:r w:rsidRPr="00930981">
              <w:rPr>
                <w:sz w:val="24"/>
                <w:szCs w:val="24"/>
              </w:rPr>
              <w:t>- 1 szt</w:t>
            </w:r>
            <w:r>
              <w:rPr>
                <w:sz w:val="24"/>
                <w:szCs w:val="24"/>
              </w:rPr>
              <w:t>.</w:t>
            </w:r>
            <w:r w:rsidRPr="00930981">
              <w:rPr>
                <w:sz w:val="24"/>
                <w:szCs w:val="24"/>
              </w:rPr>
              <w:t xml:space="preserve"> o pojemności 10 ul – 100 ul (pipeta zmienno</w:t>
            </w:r>
            <w:r>
              <w:rPr>
                <w:sz w:val="24"/>
                <w:szCs w:val="24"/>
              </w:rPr>
              <w:t xml:space="preserve"> </w:t>
            </w:r>
            <w:r w:rsidRPr="00930981">
              <w:rPr>
                <w:sz w:val="24"/>
                <w:szCs w:val="24"/>
              </w:rPr>
              <w:t>pojemnościowa)</w:t>
            </w:r>
          </w:p>
          <w:p w:rsidR="00930981" w:rsidRPr="00930981" w:rsidRDefault="00930981" w:rsidP="00930981">
            <w:pPr>
              <w:overflowPunct/>
              <w:textAlignment w:val="auto"/>
              <w:rPr>
                <w:sz w:val="24"/>
                <w:szCs w:val="24"/>
              </w:rPr>
            </w:pPr>
            <w:r w:rsidRPr="00930981">
              <w:rPr>
                <w:sz w:val="24"/>
                <w:szCs w:val="24"/>
              </w:rPr>
              <w:t>wraz świadectwem walidacji oraz 24 miesięcznym okresem gwarancyjnym dla każdej pipety.</w:t>
            </w:r>
          </w:p>
        </w:tc>
        <w:tc>
          <w:tcPr>
            <w:tcW w:w="5103" w:type="dxa"/>
            <w:tcBorders>
              <w:top w:val="nil"/>
              <w:left w:val="single" w:sz="6" w:space="0" w:color="000001"/>
              <w:bottom w:val="single" w:sz="6" w:space="0" w:color="000001"/>
              <w:right w:val="nil"/>
            </w:tcBorders>
            <w:shd w:val="clear" w:color="auto" w:fill="FFFFFF"/>
            <w:tcMar>
              <w:top w:w="0" w:type="dxa"/>
              <w:left w:w="40" w:type="dxa"/>
              <w:bottom w:w="57" w:type="dxa"/>
              <w:right w:w="0" w:type="dxa"/>
            </w:tcMar>
            <w:hideMark/>
          </w:tcPr>
          <w:p w:rsidR="00930981" w:rsidRPr="00930981" w:rsidRDefault="00930981" w:rsidP="00930981">
            <w:pPr>
              <w:overflowPunct/>
              <w:textAlignment w:val="auto"/>
              <w:rPr>
                <w:sz w:val="24"/>
                <w:szCs w:val="24"/>
              </w:rPr>
            </w:pPr>
          </w:p>
        </w:tc>
        <w:tc>
          <w:tcPr>
            <w:tcW w:w="1985" w:type="dxa"/>
            <w:tcBorders>
              <w:top w:val="nil"/>
              <w:left w:val="single" w:sz="6" w:space="0" w:color="000001"/>
              <w:bottom w:val="single" w:sz="6" w:space="0" w:color="000001"/>
              <w:right w:val="single" w:sz="6" w:space="0" w:color="000001"/>
            </w:tcBorders>
            <w:shd w:val="clear" w:color="auto" w:fill="FFFFFF"/>
            <w:tcMar>
              <w:top w:w="0" w:type="dxa"/>
              <w:left w:w="40" w:type="dxa"/>
              <w:bottom w:w="57" w:type="dxa"/>
              <w:right w:w="57" w:type="dxa"/>
            </w:tcMar>
            <w:hideMark/>
          </w:tcPr>
          <w:p w:rsidR="00930981" w:rsidRPr="00930981" w:rsidRDefault="00930981" w:rsidP="00930981">
            <w:pPr>
              <w:overflowPunct/>
              <w:textAlignment w:val="auto"/>
              <w:rPr>
                <w:sz w:val="24"/>
                <w:szCs w:val="24"/>
              </w:rPr>
            </w:pPr>
          </w:p>
        </w:tc>
      </w:tr>
    </w:tbl>
    <w:p w:rsidR="00930981" w:rsidRPr="00930981" w:rsidRDefault="00930981" w:rsidP="00930981">
      <w:pPr>
        <w:overflowPunct/>
        <w:textAlignment w:val="auto"/>
        <w:rPr>
          <w:sz w:val="24"/>
          <w:szCs w:val="24"/>
        </w:rPr>
      </w:pPr>
      <w:r w:rsidRPr="00930981">
        <w:rPr>
          <w:sz w:val="24"/>
          <w:szCs w:val="24"/>
        </w:rPr>
        <w:t>Do oferty załączyć: katalogi, ulotki, opisy lub inne dokumenty zawierające szczegółowy opis zaoferowanych produktów z opisaniem pozycji, którego dotyczą (dotyczy najkorzystniejszej oferty).</w:t>
      </w:r>
    </w:p>
    <w:p w:rsidR="00930981" w:rsidRDefault="00930981" w:rsidP="00930981">
      <w:pPr>
        <w:overflowPunct/>
        <w:spacing w:before="100" w:beforeAutospacing="1"/>
        <w:ind w:left="-680"/>
        <w:textAlignment w:val="auto"/>
        <w:rPr>
          <w:b/>
          <w:bCs/>
          <w:color w:val="000000"/>
          <w:sz w:val="22"/>
          <w:szCs w:val="22"/>
        </w:rPr>
      </w:pPr>
    </w:p>
    <w:p w:rsidR="00930981" w:rsidRDefault="00930981" w:rsidP="00930981">
      <w:pPr>
        <w:overflowPunct/>
        <w:spacing w:before="100" w:beforeAutospacing="1"/>
        <w:ind w:left="-680"/>
        <w:textAlignment w:val="auto"/>
        <w:rPr>
          <w:b/>
          <w:bCs/>
          <w:color w:val="000000"/>
          <w:sz w:val="22"/>
          <w:szCs w:val="22"/>
        </w:rPr>
      </w:pPr>
    </w:p>
    <w:p w:rsidR="00930981" w:rsidRDefault="00930981" w:rsidP="00930981">
      <w:pPr>
        <w:overflowPunct/>
        <w:spacing w:before="100" w:beforeAutospacing="1"/>
        <w:ind w:left="-680"/>
        <w:textAlignment w:val="auto"/>
        <w:rPr>
          <w:b/>
          <w:bCs/>
          <w:color w:val="000000"/>
          <w:sz w:val="22"/>
          <w:szCs w:val="22"/>
        </w:rPr>
      </w:pPr>
    </w:p>
    <w:p w:rsidR="00930981" w:rsidRDefault="00930981" w:rsidP="00930981">
      <w:pPr>
        <w:overflowPunct/>
        <w:spacing w:before="100" w:beforeAutospacing="1"/>
        <w:ind w:left="-680"/>
        <w:textAlignment w:val="auto"/>
        <w:rPr>
          <w:b/>
          <w:bCs/>
          <w:color w:val="000000"/>
          <w:sz w:val="22"/>
          <w:szCs w:val="22"/>
        </w:rPr>
      </w:pPr>
    </w:p>
    <w:p w:rsidR="00930981" w:rsidRDefault="00930981" w:rsidP="00930981">
      <w:pPr>
        <w:overflowPunct/>
        <w:spacing w:before="100" w:beforeAutospacing="1"/>
        <w:ind w:left="-680"/>
        <w:textAlignment w:val="auto"/>
        <w:rPr>
          <w:b/>
          <w:bCs/>
          <w:color w:val="000000"/>
          <w:sz w:val="22"/>
          <w:szCs w:val="22"/>
        </w:rPr>
      </w:pPr>
    </w:p>
    <w:p w:rsidR="00930981" w:rsidRDefault="00930981" w:rsidP="00930981">
      <w:pPr>
        <w:overflowPunct/>
        <w:spacing w:before="100" w:beforeAutospacing="1"/>
        <w:ind w:left="-680"/>
        <w:textAlignment w:val="auto"/>
        <w:rPr>
          <w:b/>
          <w:bCs/>
          <w:color w:val="000000"/>
          <w:sz w:val="22"/>
          <w:szCs w:val="22"/>
        </w:rPr>
      </w:pPr>
    </w:p>
    <w:p w:rsidR="00930981" w:rsidRDefault="00930981" w:rsidP="00930981">
      <w:pPr>
        <w:overflowPunct/>
        <w:spacing w:before="100" w:beforeAutospacing="1"/>
        <w:ind w:left="-680"/>
        <w:textAlignment w:val="auto"/>
        <w:rPr>
          <w:b/>
          <w:bCs/>
          <w:color w:val="000000"/>
          <w:sz w:val="22"/>
          <w:szCs w:val="22"/>
        </w:rPr>
      </w:pPr>
    </w:p>
    <w:p w:rsidR="00930981" w:rsidRPr="00930981" w:rsidRDefault="00930981" w:rsidP="00930981">
      <w:pPr>
        <w:overflowPunct/>
        <w:spacing w:before="100" w:beforeAutospacing="1"/>
        <w:jc w:val="center"/>
        <w:textAlignment w:val="auto"/>
        <w:rPr>
          <w:sz w:val="24"/>
          <w:szCs w:val="24"/>
        </w:rPr>
      </w:pPr>
      <w:r w:rsidRPr="00930981">
        <w:rPr>
          <w:b/>
          <w:bCs/>
          <w:color w:val="000000"/>
          <w:sz w:val="24"/>
          <w:szCs w:val="24"/>
        </w:rPr>
        <w:t>FORMULARZ CENOWY ZBIORCZY</w:t>
      </w:r>
    </w:p>
    <w:tbl>
      <w:tblPr>
        <w:tblW w:w="13992" w:type="dxa"/>
        <w:tblCellSpacing w:w="0" w:type="dxa"/>
        <w:tblCellMar>
          <w:top w:w="90" w:type="dxa"/>
          <w:left w:w="90" w:type="dxa"/>
          <w:bottom w:w="90" w:type="dxa"/>
          <w:right w:w="90" w:type="dxa"/>
        </w:tblCellMar>
        <w:tblLook w:val="04A0"/>
      </w:tblPr>
      <w:tblGrid>
        <w:gridCol w:w="750"/>
        <w:gridCol w:w="5958"/>
        <w:gridCol w:w="2464"/>
        <w:gridCol w:w="1560"/>
        <w:gridCol w:w="3260"/>
      </w:tblGrid>
      <w:tr w:rsidR="00930981" w:rsidRPr="00930981" w:rsidTr="0022002E">
        <w:trPr>
          <w:trHeight w:val="997"/>
          <w:tblCellSpacing w:w="0" w:type="dxa"/>
        </w:trPr>
        <w:tc>
          <w:tcPr>
            <w:tcW w:w="750"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vAlign w:val="center"/>
            <w:hideMark/>
          </w:tcPr>
          <w:p w:rsidR="00930981" w:rsidRPr="00930981" w:rsidRDefault="00930981" w:rsidP="0022002E">
            <w:pPr>
              <w:overflowPunct/>
              <w:spacing w:before="100" w:beforeAutospacing="1" w:line="288" w:lineRule="auto"/>
              <w:jc w:val="center"/>
              <w:textAlignment w:val="auto"/>
              <w:rPr>
                <w:sz w:val="24"/>
                <w:szCs w:val="24"/>
              </w:rPr>
            </w:pPr>
          </w:p>
          <w:p w:rsidR="00930981" w:rsidRPr="00930981" w:rsidRDefault="00930981" w:rsidP="0022002E">
            <w:pPr>
              <w:overflowPunct/>
              <w:spacing w:before="100" w:beforeAutospacing="1" w:line="288" w:lineRule="auto"/>
              <w:jc w:val="center"/>
              <w:textAlignment w:val="auto"/>
              <w:rPr>
                <w:sz w:val="24"/>
                <w:szCs w:val="24"/>
              </w:rPr>
            </w:pPr>
            <w:r w:rsidRPr="00930981">
              <w:rPr>
                <w:b/>
                <w:bCs/>
                <w:sz w:val="24"/>
                <w:szCs w:val="24"/>
              </w:rPr>
              <w:t>L.p.</w:t>
            </w:r>
          </w:p>
          <w:p w:rsidR="00930981" w:rsidRPr="00930981" w:rsidRDefault="00930981" w:rsidP="0022002E">
            <w:pPr>
              <w:overflowPunct/>
              <w:spacing w:before="100" w:beforeAutospacing="1" w:line="288" w:lineRule="auto"/>
              <w:jc w:val="center"/>
              <w:textAlignment w:val="auto"/>
              <w:rPr>
                <w:sz w:val="24"/>
                <w:szCs w:val="24"/>
              </w:rPr>
            </w:pPr>
          </w:p>
        </w:tc>
        <w:tc>
          <w:tcPr>
            <w:tcW w:w="5958"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vAlign w:val="center"/>
            <w:hideMark/>
          </w:tcPr>
          <w:p w:rsidR="00930981" w:rsidRPr="00930981" w:rsidRDefault="00930981" w:rsidP="0022002E">
            <w:pPr>
              <w:overflowPunct/>
              <w:spacing w:before="100" w:beforeAutospacing="1" w:line="288" w:lineRule="auto"/>
              <w:jc w:val="center"/>
              <w:textAlignment w:val="auto"/>
              <w:rPr>
                <w:sz w:val="24"/>
                <w:szCs w:val="24"/>
              </w:rPr>
            </w:pPr>
          </w:p>
          <w:p w:rsidR="00930981" w:rsidRPr="00930981" w:rsidRDefault="00930981" w:rsidP="0022002E">
            <w:pPr>
              <w:overflowPunct/>
              <w:spacing w:before="100" w:beforeAutospacing="1" w:line="288" w:lineRule="auto"/>
              <w:jc w:val="center"/>
              <w:textAlignment w:val="auto"/>
              <w:rPr>
                <w:sz w:val="24"/>
                <w:szCs w:val="24"/>
              </w:rPr>
            </w:pPr>
            <w:r w:rsidRPr="00930981">
              <w:rPr>
                <w:b/>
                <w:bCs/>
                <w:sz w:val="24"/>
                <w:szCs w:val="24"/>
              </w:rPr>
              <w:t>Nazwa</w:t>
            </w:r>
          </w:p>
          <w:p w:rsidR="00930981" w:rsidRPr="00930981" w:rsidRDefault="00930981" w:rsidP="0022002E">
            <w:pPr>
              <w:overflowPunct/>
              <w:spacing w:before="100" w:beforeAutospacing="1" w:line="288" w:lineRule="auto"/>
              <w:jc w:val="center"/>
              <w:textAlignment w:val="auto"/>
              <w:rPr>
                <w:sz w:val="24"/>
                <w:szCs w:val="24"/>
              </w:rPr>
            </w:pPr>
          </w:p>
        </w:tc>
        <w:tc>
          <w:tcPr>
            <w:tcW w:w="2464"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vAlign w:val="center"/>
            <w:hideMark/>
          </w:tcPr>
          <w:p w:rsidR="00930981" w:rsidRPr="00930981" w:rsidRDefault="00930981" w:rsidP="0022002E">
            <w:pPr>
              <w:overflowPunct/>
              <w:spacing w:before="100" w:beforeAutospacing="1" w:line="288" w:lineRule="auto"/>
              <w:jc w:val="center"/>
              <w:textAlignment w:val="auto"/>
              <w:rPr>
                <w:sz w:val="24"/>
                <w:szCs w:val="24"/>
              </w:rPr>
            </w:pPr>
          </w:p>
          <w:p w:rsidR="00930981" w:rsidRPr="00930981" w:rsidRDefault="00930981" w:rsidP="0022002E">
            <w:pPr>
              <w:overflowPunct/>
              <w:spacing w:before="100" w:beforeAutospacing="1" w:line="288" w:lineRule="auto"/>
              <w:jc w:val="center"/>
              <w:textAlignment w:val="auto"/>
              <w:rPr>
                <w:sz w:val="24"/>
                <w:szCs w:val="24"/>
              </w:rPr>
            </w:pPr>
            <w:r w:rsidRPr="00930981">
              <w:rPr>
                <w:b/>
                <w:bCs/>
                <w:sz w:val="24"/>
                <w:szCs w:val="24"/>
              </w:rPr>
              <w:t>Łączna wartość netto</w:t>
            </w:r>
          </w:p>
          <w:p w:rsidR="00930981" w:rsidRPr="00930981" w:rsidRDefault="00930981" w:rsidP="0022002E">
            <w:pPr>
              <w:overflowPunct/>
              <w:spacing w:before="100" w:beforeAutospacing="1" w:line="288" w:lineRule="auto"/>
              <w:jc w:val="center"/>
              <w:textAlignment w:val="auto"/>
              <w:rPr>
                <w:sz w:val="24"/>
                <w:szCs w:val="24"/>
              </w:rPr>
            </w:pPr>
          </w:p>
        </w:tc>
        <w:tc>
          <w:tcPr>
            <w:tcW w:w="1560"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vAlign w:val="center"/>
            <w:hideMark/>
          </w:tcPr>
          <w:p w:rsidR="00930981" w:rsidRPr="00930981" w:rsidRDefault="00930981" w:rsidP="0022002E">
            <w:pPr>
              <w:overflowPunct/>
              <w:spacing w:before="100" w:beforeAutospacing="1" w:line="288" w:lineRule="auto"/>
              <w:jc w:val="center"/>
              <w:textAlignment w:val="auto"/>
              <w:rPr>
                <w:sz w:val="24"/>
                <w:szCs w:val="24"/>
              </w:rPr>
            </w:pPr>
          </w:p>
          <w:p w:rsidR="00930981" w:rsidRPr="00930981" w:rsidRDefault="00930981" w:rsidP="0022002E">
            <w:pPr>
              <w:overflowPunct/>
              <w:spacing w:before="100" w:beforeAutospacing="1" w:line="288" w:lineRule="auto"/>
              <w:jc w:val="center"/>
              <w:textAlignment w:val="auto"/>
              <w:rPr>
                <w:sz w:val="24"/>
                <w:szCs w:val="24"/>
              </w:rPr>
            </w:pPr>
            <w:r w:rsidRPr="00930981">
              <w:rPr>
                <w:b/>
                <w:bCs/>
                <w:sz w:val="24"/>
                <w:szCs w:val="24"/>
              </w:rPr>
              <w:t>Podatek VAT</w:t>
            </w:r>
          </w:p>
          <w:p w:rsidR="00930981" w:rsidRPr="00930981" w:rsidRDefault="00930981" w:rsidP="0022002E">
            <w:pPr>
              <w:overflowPunct/>
              <w:spacing w:before="100" w:beforeAutospacing="1" w:line="288" w:lineRule="auto"/>
              <w:jc w:val="center"/>
              <w:textAlignment w:val="auto"/>
              <w:rPr>
                <w:sz w:val="24"/>
                <w:szCs w:val="24"/>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85" w:type="dxa"/>
              <w:bottom w:w="0" w:type="dxa"/>
              <w:right w:w="108" w:type="dxa"/>
            </w:tcMar>
            <w:vAlign w:val="center"/>
            <w:hideMark/>
          </w:tcPr>
          <w:p w:rsidR="00930981" w:rsidRPr="00930981" w:rsidRDefault="00930981" w:rsidP="0022002E">
            <w:pPr>
              <w:overflowPunct/>
              <w:spacing w:before="100" w:beforeAutospacing="1" w:line="288" w:lineRule="auto"/>
              <w:jc w:val="center"/>
              <w:textAlignment w:val="auto"/>
              <w:rPr>
                <w:sz w:val="24"/>
                <w:szCs w:val="24"/>
              </w:rPr>
            </w:pPr>
          </w:p>
          <w:p w:rsidR="00930981" w:rsidRPr="00930981" w:rsidRDefault="00930981" w:rsidP="0022002E">
            <w:pPr>
              <w:overflowPunct/>
              <w:spacing w:before="100" w:beforeAutospacing="1" w:line="288" w:lineRule="auto"/>
              <w:jc w:val="center"/>
              <w:textAlignment w:val="auto"/>
              <w:rPr>
                <w:sz w:val="24"/>
                <w:szCs w:val="24"/>
              </w:rPr>
            </w:pPr>
            <w:r w:rsidRPr="00930981">
              <w:rPr>
                <w:b/>
                <w:bCs/>
                <w:sz w:val="24"/>
                <w:szCs w:val="24"/>
              </w:rPr>
              <w:t>Łączna wartość brutto</w:t>
            </w:r>
          </w:p>
          <w:p w:rsidR="00930981" w:rsidRPr="00930981" w:rsidRDefault="00930981" w:rsidP="0022002E">
            <w:pPr>
              <w:overflowPunct/>
              <w:spacing w:before="100" w:beforeAutospacing="1" w:line="288" w:lineRule="auto"/>
              <w:textAlignment w:val="auto"/>
              <w:rPr>
                <w:sz w:val="24"/>
                <w:szCs w:val="24"/>
              </w:rPr>
            </w:pPr>
          </w:p>
        </w:tc>
      </w:tr>
      <w:tr w:rsidR="00930981" w:rsidRPr="00930981" w:rsidTr="0022002E">
        <w:trPr>
          <w:trHeight w:val="645"/>
          <w:tblCellSpacing w:w="0" w:type="dxa"/>
        </w:trPr>
        <w:tc>
          <w:tcPr>
            <w:tcW w:w="750"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vAlign w:val="center"/>
            <w:hideMark/>
          </w:tcPr>
          <w:p w:rsidR="00930981" w:rsidRPr="00930981" w:rsidRDefault="00930981" w:rsidP="0022002E">
            <w:pPr>
              <w:overflowPunct/>
              <w:spacing w:before="100" w:beforeAutospacing="1" w:line="288" w:lineRule="auto"/>
              <w:jc w:val="center"/>
              <w:textAlignment w:val="auto"/>
              <w:rPr>
                <w:sz w:val="24"/>
                <w:szCs w:val="24"/>
              </w:rPr>
            </w:pPr>
            <w:r w:rsidRPr="00930981">
              <w:rPr>
                <w:b/>
                <w:bCs/>
                <w:sz w:val="24"/>
                <w:szCs w:val="24"/>
              </w:rPr>
              <w:t>1</w:t>
            </w:r>
          </w:p>
        </w:tc>
        <w:tc>
          <w:tcPr>
            <w:tcW w:w="5958"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vAlign w:val="center"/>
            <w:hideMark/>
          </w:tcPr>
          <w:p w:rsidR="00930981" w:rsidRPr="00930981" w:rsidRDefault="00930981" w:rsidP="0022002E">
            <w:pPr>
              <w:overflowPunct/>
              <w:spacing w:before="100" w:beforeAutospacing="1" w:line="288" w:lineRule="auto"/>
              <w:textAlignment w:val="auto"/>
              <w:rPr>
                <w:sz w:val="24"/>
                <w:szCs w:val="24"/>
              </w:rPr>
            </w:pPr>
            <w:r w:rsidRPr="00930981">
              <w:rPr>
                <w:b/>
                <w:bCs/>
                <w:color w:val="000000"/>
                <w:sz w:val="24"/>
                <w:szCs w:val="24"/>
              </w:rPr>
              <w:t xml:space="preserve">Odczynniki i materiały zużywalne do badań </w:t>
            </w:r>
          </w:p>
        </w:tc>
        <w:tc>
          <w:tcPr>
            <w:tcW w:w="2464"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rsidR="00930981" w:rsidRPr="00930981" w:rsidRDefault="00930981" w:rsidP="0022002E">
            <w:pPr>
              <w:overflowPunct/>
              <w:spacing w:before="100" w:beforeAutospacing="1" w:line="288" w:lineRule="auto"/>
              <w:textAlignment w:val="auto"/>
              <w:rPr>
                <w:sz w:val="24"/>
                <w:szCs w:val="24"/>
              </w:rPr>
            </w:pPr>
          </w:p>
        </w:tc>
        <w:tc>
          <w:tcPr>
            <w:tcW w:w="1560"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rsidR="00930981" w:rsidRPr="00930981" w:rsidRDefault="00930981" w:rsidP="0022002E">
            <w:pPr>
              <w:overflowPunct/>
              <w:spacing w:before="100" w:beforeAutospacing="1" w:line="288" w:lineRule="auto"/>
              <w:textAlignment w:val="auto"/>
              <w:rPr>
                <w:sz w:val="24"/>
                <w:szCs w:val="24"/>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85" w:type="dxa"/>
              <w:bottom w:w="0" w:type="dxa"/>
              <w:right w:w="108" w:type="dxa"/>
            </w:tcMar>
            <w:hideMark/>
          </w:tcPr>
          <w:p w:rsidR="00930981" w:rsidRPr="00930981" w:rsidRDefault="00930981" w:rsidP="0022002E">
            <w:pPr>
              <w:overflowPunct/>
              <w:spacing w:before="100" w:beforeAutospacing="1" w:line="288" w:lineRule="auto"/>
              <w:textAlignment w:val="auto"/>
              <w:rPr>
                <w:sz w:val="24"/>
                <w:szCs w:val="24"/>
              </w:rPr>
            </w:pPr>
          </w:p>
        </w:tc>
      </w:tr>
      <w:tr w:rsidR="00930981" w:rsidRPr="00930981" w:rsidTr="0022002E">
        <w:trPr>
          <w:trHeight w:val="915"/>
          <w:tblCellSpacing w:w="0" w:type="dxa"/>
        </w:trPr>
        <w:tc>
          <w:tcPr>
            <w:tcW w:w="750"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vAlign w:val="center"/>
            <w:hideMark/>
          </w:tcPr>
          <w:p w:rsidR="00930981" w:rsidRPr="00930981" w:rsidRDefault="00930981" w:rsidP="0022002E">
            <w:pPr>
              <w:overflowPunct/>
              <w:spacing w:before="100" w:beforeAutospacing="1" w:line="288" w:lineRule="auto"/>
              <w:jc w:val="center"/>
              <w:textAlignment w:val="auto"/>
              <w:rPr>
                <w:sz w:val="24"/>
                <w:szCs w:val="24"/>
              </w:rPr>
            </w:pPr>
            <w:r w:rsidRPr="00930981">
              <w:rPr>
                <w:b/>
                <w:bCs/>
                <w:sz w:val="24"/>
                <w:szCs w:val="24"/>
              </w:rPr>
              <w:t>2</w:t>
            </w:r>
          </w:p>
        </w:tc>
        <w:tc>
          <w:tcPr>
            <w:tcW w:w="5958"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vAlign w:val="center"/>
            <w:hideMark/>
          </w:tcPr>
          <w:p w:rsidR="00930981" w:rsidRPr="00930981" w:rsidRDefault="00930981" w:rsidP="0022002E">
            <w:pPr>
              <w:overflowPunct/>
              <w:spacing w:before="100" w:beforeAutospacing="1" w:line="288" w:lineRule="auto"/>
              <w:textAlignment w:val="auto"/>
              <w:rPr>
                <w:sz w:val="24"/>
                <w:szCs w:val="24"/>
              </w:rPr>
            </w:pPr>
            <w:r w:rsidRPr="00930981">
              <w:rPr>
                <w:b/>
                <w:bCs/>
                <w:sz w:val="24"/>
                <w:szCs w:val="24"/>
              </w:rPr>
              <w:t xml:space="preserve">Dzierżawa analizatora </w:t>
            </w:r>
          </w:p>
        </w:tc>
        <w:tc>
          <w:tcPr>
            <w:tcW w:w="2464"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rsidR="00930981" w:rsidRPr="00930981" w:rsidRDefault="00930981" w:rsidP="0022002E">
            <w:pPr>
              <w:overflowPunct/>
              <w:spacing w:before="100" w:beforeAutospacing="1" w:line="288" w:lineRule="auto"/>
              <w:textAlignment w:val="auto"/>
              <w:rPr>
                <w:sz w:val="24"/>
                <w:szCs w:val="24"/>
              </w:rPr>
            </w:pPr>
          </w:p>
        </w:tc>
        <w:tc>
          <w:tcPr>
            <w:tcW w:w="1560" w:type="dxa"/>
            <w:tcBorders>
              <w:top w:val="single" w:sz="6" w:space="0" w:color="000001"/>
              <w:left w:val="single" w:sz="6" w:space="0" w:color="000001"/>
              <w:bottom w:val="single" w:sz="6" w:space="0" w:color="000001"/>
              <w:right w:val="nil"/>
            </w:tcBorders>
            <w:shd w:val="clear" w:color="auto" w:fill="FFFFFF"/>
            <w:tcMar>
              <w:top w:w="0" w:type="dxa"/>
              <w:left w:w="85" w:type="dxa"/>
              <w:bottom w:w="0" w:type="dxa"/>
              <w:right w:w="0" w:type="dxa"/>
            </w:tcMar>
            <w:hideMark/>
          </w:tcPr>
          <w:p w:rsidR="00930981" w:rsidRPr="00930981" w:rsidRDefault="00930981" w:rsidP="0022002E">
            <w:pPr>
              <w:overflowPunct/>
              <w:spacing w:before="100" w:beforeAutospacing="1" w:line="288" w:lineRule="auto"/>
              <w:textAlignment w:val="auto"/>
              <w:rPr>
                <w:sz w:val="24"/>
                <w:szCs w:val="24"/>
              </w:rPr>
            </w:pPr>
          </w:p>
        </w:tc>
        <w:tc>
          <w:tcPr>
            <w:tcW w:w="3260" w:type="dxa"/>
            <w:tcBorders>
              <w:top w:val="single" w:sz="6" w:space="0" w:color="000001"/>
              <w:left w:val="single" w:sz="6" w:space="0" w:color="000001"/>
              <w:bottom w:val="single" w:sz="6" w:space="0" w:color="000001"/>
              <w:right w:val="single" w:sz="6" w:space="0" w:color="000001"/>
            </w:tcBorders>
            <w:shd w:val="clear" w:color="auto" w:fill="FFFFFF"/>
            <w:tcMar>
              <w:top w:w="0" w:type="dxa"/>
              <w:left w:w="85" w:type="dxa"/>
              <w:bottom w:w="0" w:type="dxa"/>
              <w:right w:w="108" w:type="dxa"/>
            </w:tcMar>
            <w:hideMark/>
          </w:tcPr>
          <w:p w:rsidR="00930981" w:rsidRPr="00930981" w:rsidRDefault="00930981" w:rsidP="0022002E">
            <w:pPr>
              <w:overflowPunct/>
              <w:spacing w:before="100" w:beforeAutospacing="1" w:line="288" w:lineRule="auto"/>
              <w:textAlignment w:val="auto"/>
              <w:rPr>
                <w:sz w:val="24"/>
                <w:szCs w:val="24"/>
              </w:rPr>
            </w:pPr>
          </w:p>
        </w:tc>
      </w:tr>
    </w:tbl>
    <w:p w:rsidR="00930981" w:rsidRPr="00930981" w:rsidRDefault="00930981" w:rsidP="00930981">
      <w:pPr>
        <w:overflowPunct/>
        <w:spacing w:before="100" w:beforeAutospacing="1"/>
        <w:textAlignment w:val="auto"/>
      </w:pPr>
    </w:p>
    <w:p w:rsidR="008417B3" w:rsidRDefault="008417B3" w:rsidP="008417B3">
      <w:pPr>
        <w:rPr>
          <w:sz w:val="24"/>
          <w:szCs w:val="24"/>
        </w:rPr>
      </w:pPr>
    </w:p>
    <w:p w:rsidR="008417B3" w:rsidRPr="008417B3" w:rsidRDefault="008417B3" w:rsidP="008417B3">
      <w:pPr>
        <w:rPr>
          <w:sz w:val="24"/>
          <w:szCs w:val="24"/>
        </w:rPr>
      </w:pPr>
      <w:r w:rsidRPr="008417B3">
        <w:rPr>
          <w:sz w:val="24"/>
          <w:szCs w:val="24"/>
        </w:rPr>
        <w:t>…………………………, dnia ………</w:t>
      </w:r>
      <w:r w:rsidR="00930981">
        <w:rPr>
          <w:sz w:val="24"/>
          <w:szCs w:val="24"/>
        </w:rPr>
        <w:t>…….</w:t>
      </w:r>
      <w:r w:rsidRPr="008417B3">
        <w:rPr>
          <w:sz w:val="24"/>
          <w:szCs w:val="24"/>
        </w:rPr>
        <w:t>………  r.</w:t>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t xml:space="preserve">    </w:t>
      </w:r>
    </w:p>
    <w:p w:rsidR="008417B3" w:rsidRPr="008417B3" w:rsidRDefault="008417B3" w:rsidP="008417B3">
      <w:pPr>
        <w:rPr>
          <w:sz w:val="24"/>
          <w:szCs w:val="24"/>
        </w:rPr>
      </w:pPr>
    </w:p>
    <w:p w:rsidR="008417B3" w:rsidRPr="008417B3" w:rsidRDefault="008417B3" w:rsidP="008417B3">
      <w:pPr>
        <w:ind w:left="8496" w:firstLine="708"/>
        <w:rPr>
          <w:sz w:val="24"/>
          <w:szCs w:val="24"/>
        </w:rPr>
      </w:pPr>
      <w:r w:rsidRPr="008417B3">
        <w:rPr>
          <w:sz w:val="24"/>
          <w:szCs w:val="24"/>
        </w:rPr>
        <w:t xml:space="preserve">   ………………………………………………..</w:t>
      </w:r>
    </w:p>
    <w:p w:rsidR="008417B3" w:rsidRPr="008417B3" w:rsidRDefault="008417B3" w:rsidP="008417B3">
      <w:pPr>
        <w:widowControl w:val="0"/>
        <w:rPr>
          <w:sz w:val="24"/>
          <w:szCs w:val="24"/>
        </w:rPr>
      </w:pP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t xml:space="preserve">  </w:t>
      </w:r>
      <w:r>
        <w:rPr>
          <w:sz w:val="24"/>
          <w:szCs w:val="24"/>
        </w:rPr>
        <w:t xml:space="preserve">     </w:t>
      </w:r>
      <w:r w:rsidRPr="008417B3">
        <w:rPr>
          <w:sz w:val="24"/>
          <w:szCs w:val="24"/>
        </w:rPr>
        <w:t xml:space="preserve">    pieczęć i podpis upoważnionego</w:t>
      </w:r>
      <w:r w:rsidRPr="008417B3">
        <w:rPr>
          <w:sz w:val="24"/>
          <w:szCs w:val="24"/>
        </w:rPr>
        <w:br/>
        <w:t xml:space="preserve">   </w:t>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r>
      <w:r w:rsidRPr="008417B3">
        <w:rPr>
          <w:sz w:val="24"/>
          <w:szCs w:val="24"/>
        </w:rPr>
        <w:tab/>
        <w:t xml:space="preserve">  </w:t>
      </w:r>
      <w:r w:rsidRPr="008417B3">
        <w:rPr>
          <w:sz w:val="24"/>
          <w:szCs w:val="24"/>
        </w:rPr>
        <w:tab/>
        <w:t xml:space="preserve">   </w:t>
      </w:r>
      <w:r w:rsidRPr="008417B3">
        <w:rPr>
          <w:sz w:val="24"/>
          <w:szCs w:val="24"/>
        </w:rPr>
        <w:tab/>
        <w:t xml:space="preserve">       </w:t>
      </w:r>
      <w:r>
        <w:rPr>
          <w:sz w:val="24"/>
          <w:szCs w:val="24"/>
        </w:rPr>
        <w:t xml:space="preserve">   </w:t>
      </w:r>
      <w:r w:rsidRPr="008417B3">
        <w:rPr>
          <w:sz w:val="24"/>
          <w:szCs w:val="24"/>
        </w:rPr>
        <w:t xml:space="preserve">    przedstawiciela/wykonawcy</w:t>
      </w:r>
    </w:p>
    <w:p w:rsidR="00FA45B5" w:rsidRDefault="00FA45B5"/>
    <w:sectPr w:rsidR="00FA45B5" w:rsidSect="00FA45B5">
      <w:headerReference w:type="default" r:id="rId6"/>
      <w:pgSz w:w="16838" w:h="11906" w:orient="landscape"/>
      <w:pgMar w:top="516" w:right="1417" w:bottom="680" w:left="1417" w:header="0" w:footer="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D58" w:rsidRDefault="00DE2D58" w:rsidP="00FA45B5">
      <w:r>
        <w:separator/>
      </w:r>
    </w:p>
  </w:endnote>
  <w:endnote w:type="continuationSeparator" w:id="1">
    <w:p w:rsidR="00DE2D58" w:rsidRDefault="00DE2D58" w:rsidP="00FA4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D58" w:rsidRDefault="00DE2D58" w:rsidP="00FA45B5">
      <w:r>
        <w:separator/>
      </w:r>
    </w:p>
  </w:footnote>
  <w:footnote w:type="continuationSeparator" w:id="1">
    <w:p w:rsidR="00DE2D58" w:rsidRDefault="00DE2D58" w:rsidP="00FA4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5B5" w:rsidRDefault="00FA45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footnotePr>
    <w:footnote w:id="0"/>
    <w:footnote w:id="1"/>
  </w:footnotePr>
  <w:endnotePr>
    <w:endnote w:id="0"/>
    <w:endnote w:id="1"/>
  </w:endnotePr>
  <w:compat/>
  <w:rsids>
    <w:rsidRoot w:val="00FA45B5"/>
    <w:rsid w:val="0022002E"/>
    <w:rsid w:val="003E386C"/>
    <w:rsid w:val="00461EE5"/>
    <w:rsid w:val="00706C99"/>
    <w:rsid w:val="007B7ECC"/>
    <w:rsid w:val="00807423"/>
    <w:rsid w:val="008417B3"/>
    <w:rsid w:val="00851719"/>
    <w:rsid w:val="00930981"/>
    <w:rsid w:val="00DE2D58"/>
    <w:rsid w:val="00FA45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8A6"/>
    <w:pPr>
      <w:overflowPunct w:val="0"/>
      <w:textAlignment w:val="baseline"/>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qFormat/>
    <w:rsid w:val="00E62300"/>
    <w:pPr>
      <w:keepNext/>
      <w:jc w:val="center"/>
      <w:outlineLvl w:val="0"/>
    </w:pPr>
    <w:rPr>
      <w:sz w:val="32"/>
    </w:rPr>
  </w:style>
  <w:style w:type="paragraph" w:customStyle="1" w:styleId="Heading2">
    <w:name w:val="Heading 2"/>
    <w:basedOn w:val="Normalny"/>
    <w:link w:val="Nagwek2Znak"/>
    <w:qFormat/>
    <w:rsid w:val="00E62300"/>
    <w:pPr>
      <w:keepNext/>
      <w:jc w:val="center"/>
      <w:outlineLvl w:val="1"/>
    </w:pPr>
    <w:rPr>
      <w:b/>
      <w:bCs/>
    </w:rPr>
  </w:style>
  <w:style w:type="paragraph" w:customStyle="1" w:styleId="Heading3">
    <w:name w:val="Heading 3"/>
    <w:basedOn w:val="Normalny"/>
    <w:link w:val="Nagwek3Znak"/>
    <w:qFormat/>
    <w:rsid w:val="00E62300"/>
    <w:pPr>
      <w:keepNext/>
      <w:spacing w:line="360" w:lineRule="auto"/>
      <w:ind w:left="4248"/>
      <w:jc w:val="center"/>
      <w:outlineLvl w:val="2"/>
    </w:pPr>
    <w:rPr>
      <w:b/>
      <w:bCs/>
    </w:rPr>
  </w:style>
  <w:style w:type="paragraph" w:customStyle="1" w:styleId="Heading4">
    <w:name w:val="Heading 4"/>
    <w:basedOn w:val="Normalny"/>
    <w:link w:val="Nagwek4Znak"/>
    <w:qFormat/>
    <w:rsid w:val="00E62300"/>
    <w:pPr>
      <w:keepNext/>
      <w:spacing w:line="360" w:lineRule="auto"/>
      <w:ind w:left="181"/>
      <w:jc w:val="center"/>
      <w:outlineLvl w:val="3"/>
    </w:pPr>
    <w:rPr>
      <w:b/>
      <w:bCs/>
    </w:rPr>
  </w:style>
  <w:style w:type="paragraph" w:customStyle="1" w:styleId="Heading5">
    <w:name w:val="Heading 5"/>
    <w:basedOn w:val="Normalny"/>
    <w:link w:val="Nagwek5Znak"/>
    <w:qFormat/>
    <w:rsid w:val="00E62300"/>
    <w:pPr>
      <w:keepNext/>
      <w:spacing w:line="360" w:lineRule="auto"/>
      <w:ind w:left="360"/>
      <w:jc w:val="both"/>
      <w:outlineLvl w:val="4"/>
    </w:pPr>
    <w:rPr>
      <w:b/>
      <w:bCs/>
    </w:rPr>
  </w:style>
  <w:style w:type="paragraph" w:customStyle="1" w:styleId="Heading6">
    <w:name w:val="Heading 6"/>
    <w:basedOn w:val="Normalny"/>
    <w:link w:val="Nagwek6Znak"/>
    <w:qFormat/>
    <w:rsid w:val="00E62300"/>
    <w:pPr>
      <w:keepNext/>
      <w:ind w:left="4248" w:firstLine="708"/>
      <w:outlineLvl w:val="5"/>
    </w:pPr>
    <w:rPr>
      <w:b/>
      <w:bCs/>
    </w:rPr>
  </w:style>
  <w:style w:type="paragraph" w:customStyle="1" w:styleId="Heading7">
    <w:name w:val="Heading 7"/>
    <w:basedOn w:val="Normalny"/>
    <w:link w:val="Nagwek7Znak"/>
    <w:qFormat/>
    <w:rsid w:val="00E62300"/>
    <w:pPr>
      <w:keepNext/>
      <w:ind w:left="2832"/>
      <w:jc w:val="center"/>
      <w:outlineLvl w:val="6"/>
    </w:pPr>
    <w:rPr>
      <w:b/>
      <w:bCs/>
    </w:rPr>
  </w:style>
  <w:style w:type="paragraph" w:customStyle="1" w:styleId="Heading8">
    <w:name w:val="Heading 8"/>
    <w:basedOn w:val="Normalny"/>
    <w:link w:val="Nagwek8Znak"/>
    <w:qFormat/>
    <w:rsid w:val="00E62300"/>
    <w:pPr>
      <w:keepNext/>
      <w:ind w:left="2124" w:firstLine="708"/>
      <w:jc w:val="center"/>
      <w:outlineLvl w:val="7"/>
    </w:pPr>
    <w:rPr>
      <w:b/>
      <w:bCs/>
    </w:rPr>
  </w:style>
  <w:style w:type="paragraph" w:customStyle="1" w:styleId="Heading9">
    <w:name w:val="Heading 9"/>
    <w:basedOn w:val="Normalny"/>
    <w:link w:val="Nagwek9Znak"/>
    <w:qFormat/>
    <w:rsid w:val="00E62300"/>
    <w:pPr>
      <w:keepNext/>
      <w:spacing w:line="360" w:lineRule="auto"/>
      <w:ind w:left="4956"/>
      <w:jc w:val="center"/>
      <w:outlineLvl w:val="8"/>
    </w:pPr>
    <w:rPr>
      <w:b/>
      <w:bCs/>
    </w:rPr>
  </w:style>
  <w:style w:type="character" w:customStyle="1" w:styleId="Nagwek1Znak">
    <w:name w:val="Nagłówek 1 Znak"/>
    <w:basedOn w:val="Domylnaczcionkaakapitu"/>
    <w:link w:val="Heading1"/>
    <w:qFormat/>
    <w:rsid w:val="00E62300"/>
    <w:rPr>
      <w:sz w:val="32"/>
    </w:rPr>
  </w:style>
  <w:style w:type="character" w:customStyle="1" w:styleId="Nagwek2Znak">
    <w:name w:val="Nagłówek 2 Znak"/>
    <w:basedOn w:val="Domylnaczcionkaakapitu"/>
    <w:link w:val="Heading2"/>
    <w:qFormat/>
    <w:rsid w:val="00E62300"/>
    <w:rPr>
      <w:b/>
      <w:bCs/>
    </w:rPr>
  </w:style>
  <w:style w:type="character" w:customStyle="1" w:styleId="Nagwek3Znak">
    <w:name w:val="Nagłówek 3 Znak"/>
    <w:basedOn w:val="Domylnaczcionkaakapitu"/>
    <w:link w:val="Heading3"/>
    <w:qFormat/>
    <w:rsid w:val="00E62300"/>
    <w:rPr>
      <w:b/>
      <w:bCs/>
    </w:rPr>
  </w:style>
  <w:style w:type="character" w:customStyle="1" w:styleId="Nagwek4Znak">
    <w:name w:val="Nagłówek 4 Znak"/>
    <w:basedOn w:val="Domylnaczcionkaakapitu"/>
    <w:link w:val="Heading4"/>
    <w:qFormat/>
    <w:rsid w:val="00E62300"/>
    <w:rPr>
      <w:b/>
      <w:bCs/>
    </w:rPr>
  </w:style>
  <w:style w:type="character" w:customStyle="1" w:styleId="Nagwek5Znak">
    <w:name w:val="Nagłówek 5 Znak"/>
    <w:basedOn w:val="Domylnaczcionkaakapitu"/>
    <w:link w:val="Heading5"/>
    <w:qFormat/>
    <w:rsid w:val="00E62300"/>
    <w:rPr>
      <w:b/>
      <w:bCs/>
    </w:rPr>
  </w:style>
  <w:style w:type="character" w:customStyle="1" w:styleId="Nagwek6Znak">
    <w:name w:val="Nagłówek 6 Znak"/>
    <w:basedOn w:val="Domylnaczcionkaakapitu"/>
    <w:link w:val="Heading6"/>
    <w:qFormat/>
    <w:rsid w:val="00E62300"/>
    <w:rPr>
      <w:b/>
      <w:bCs/>
    </w:rPr>
  </w:style>
  <w:style w:type="character" w:customStyle="1" w:styleId="Nagwek7Znak">
    <w:name w:val="Nagłówek 7 Znak"/>
    <w:basedOn w:val="Domylnaczcionkaakapitu"/>
    <w:link w:val="Heading7"/>
    <w:qFormat/>
    <w:rsid w:val="00E62300"/>
    <w:rPr>
      <w:b/>
      <w:bCs/>
    </w:rPr>
  </w:style>
  <w:style w:type="character" w:customStyle="1" w:styleId="Nagwek8Znak">
    <w:name w:val="Nagłówek 8 Znak"/>
    <w:basedOn w:val="Domylnaczcionkaakapitu"/>
    <w:link w:val="Heading8"/>
    <w:qFormat/>
    <w:rsid w:val="00E62300"/>
    <w:rPr>
      <w:b/>
      <w:bCs/>
    </w:rPr>
  </w:style>
  <w:style w:type="character" w:customStyle="1" w:styleId="Nagwek9Znak">
    <w:name w:val="Nagłówek 9 Znak"/>
    <w:basedOn w:val="Domylnaczcionkaakapitu"/>
    <w:link w:val="Heading9"/>
    <w:qFormat/>
    <w:rsid w:val="00E62300"/>
    <w:rPr>
      <w:b/>
      <w:bCs/>
    </w:rPr>
  </w:style>
  <w:style w:type="character" w:customStyle="1" w:styleId="TytuZnak">
    <w:name w:val="Tytuł Znak"/>
    <w:basedOn w:val="Domylnaczcionkaakapitu"/>
    <w:link w:val="Tytu"/>
    <w:qFormat/>
    <w:rsid w:val="00E62300"/>
    <w:rPr>
      <w:sz w:val="28"/>
    </w:rPr>
  </w:style>
  <w:style w:type="character" w:customStyle="1" w:styleId="PodtytuZnak">
    <w:name w:val="Podtytuł Znak"/>
    <w:basedOn w:val="Domylnaczcionkaakapitu"/>
    <w:link w:val="Podtytu"/>
    <w:uiPriority w:val="11"/>
    <w:qFormat/>
    <w:rsid w:val="00E62300"/>
    <w:rPr>
      <w:rFonts w:asciiTheme="majorHAnsi" w:eastAsiaTheme="majorEastAsia" w:hAnsiTheme="majorHAnsi" w:cstheme="majorBidi"/>
      <w:i/>
      <w:iCs/>
      <w:color w:val="4F81BD" w:themeColor="accent1"/>
      <w:spacing w:val="15"/>
      <w:sz w:val="24"/>
      <w:szCs w:val="24"/>
    </w:rPr>
  </w:style>
  <w:style w:type="character" w:styleId="Odwoaniedelikatne">
    <w:name w:val="Subtle Reference"/>
    <w:basedOn w:val="Domylnaczcionkaakapitu"/>
    <w:uiPriority w:val="31"/>
    <w:qFormat/>
    <w:rsid w:val="00E62300"/>
    <w:rPr>
      <w:smallCaps/>
      <w:color w:val="C0504D" w:themeColor="accent2"/>
      <w:u w:val="single"/>
    </w:rPr>
  </w:style>
  <w:style w:type="character" w:customStyle="1" w:styleId="ListLabel1">
    <w:name w:val="ListLabel 1"/>
    <w:qFormat/>
    <w:rsid w:val="00FA45B5"/>
    <w:rPr>
      <w:rFonts w:ascii="Tahoma" w:hAnsi="Tahoma"/>
      <w:sz w:val="22"/>
    </w:rPr>
  </w:style>
  <w:style w:type="character" w:customStyle="1" w:styleId="ListLabel2">
    <w:name w:val="ListLabel 2"/>
    <w:qFormat/>
    <w:rsid w:val="00FA45B5"/>
    <w:rPr>
      <w:rFonts w:ascii="Tahoma" w:hAnsi="Tahoma"/>
      <w:b/>
      <w:color w:val="00000A"/>
    </w:rPr>
  </w:style>
  <w:style w:type="character" w:customStyle="1" w:styleId="ListLabel3">
    <w:name w:val="ListLabel 3"/>
    <w:qFormat/>
    <w:rsid w:val="00FA45B5"/>
    <w:rPr>
      <w:rFonts w:ascii="Tahoma" w:hAnsi="Tahoma"/>
      <w:sz w:val="22"/>
    </w:rPr>
  </w:style>
  <w:style w:type="character" w:customStyle="1" w:styleId="ListLabel4">
    <w:name w:val="ListLabel 4"/>
    <w:qFormat/>
    <w:rsid w:val="00FA45B5"/>
    <w:rPr>
      <w:rFonts w:ascii="Tahoma" w:hAnsi="Tahoma"/>
      <w:b/>
      <w:color w:val="00000A"/>
    </w:rPr>
  </w:style>
  <w:style w:type="paragraph" w:styleId="Nagwek">
    <w:name w:val="header"/>
    <w:basedOn w:val="Normalny"/>
    <w:next w:val="Tekstpodstawowy"/>
    <w:qFormat/>
    <w:rsid w:val="00FA45B5"/>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A45B5"/>
    <w:pPr>
      <w:spacing w:after="140" w:line="288" w:lineRule="auto"/>
    </w:pPr>
  </w:style>
  <w:style w:type="paragraph" w:styleId="Lista">
    <w:name w:val="List"/>
    <w:basedOn w:val="Tekstpodstawowy"/>
    <w:rsid w:val="00FA45B5"/>
    <w:rPr>
      <w:rFonts w:cs="Mangal"/>
    </w:rPr>
  </w:style>
  <w:style w:type="paragraph" w:customStyle="1" w:styleId="Caption">
    <w:name w:val="Caption"/>
    <w:basedOn w:val="Normalny"/>
    <w:qFormat/>
    <w:rsid w:val="00FA45B5"/>
    <w:pPr>
      <w:suppressLineNumbers/>
      <w:spacing w:before="120" w:after="120"/>
    </w:pPr>
    <w:rPr>
      <w:rFonts w:cs="Mangal"/>
      <w:i/>
      <w:iCs/>
      <w:sz w:val="24"/>
      <w:szCs w:val="24"/>
    </w:rPr>
  </w:style>
  <w:style w:type="paragraph" w:customStyle="1" w:styleId="Indeks">
    <w:name w:val="Indeks"/>
    <w:basedOn w:val="Normalny"/>
    <w:qFormat/>
    <w:rsid w:val="00FA45B5"/>
    <w:pPr>
      <w:suppressLineNumbers/>
    </w:pPr>
    <w:rPr>
      <w:rFonts w:cs="Mangal"/>
    </w:rPr>
  </w:style>
  <w:style w:type="paragraph" w:styleId="Tytu">
    <w:name w:val="Title"/>
    <w:basedOn w:val="Normalny"/>
    <w:link w:val="TytuZnak"/>
    <w:qFormat/>
    <w:rsid w:val="00E62300"/>
    <w:pPr>
      <w:jc w:val="center"/>
    </w:pPr>
    <w:rPr>
      <w:sz w:val="28"/>
    </w:rPr>
  </w:style>
  <w:style w:type="paragraph" w:styleId="Podtytu">
    <w:name w:val="Subtitle"/>
    <w:basedOn w:val="Normalny"/>
    <w:link w:val="PodtytuZnak"/>
    <w:uiPriority w:val="11"/>
    <w:qFormat/>
    <w:rsid w:val="00E62300"/>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uiPriority w:val="34"/>
    <w:qFormat/>
    <w:rsid w:val="00E62300"/>
    <w:pPr>
      <w:overflowPunct/>
      <w:ind w:left="708"/>
      <w:textAlignment w:val="auto"/>
    </w:pPr>
  </w:style>
  <w:style w:type="paragraph" w:customStyle="1" w:styleId="Zawartotabeli">
    <w:name w:val="Zawartość tabeli"/>
    <w:basedOn w:val="Normalny"/>
    <w:qFormat/>
    <w:rsid w:val="00FA45B5"/>
  </w:style>
  <w:style w:type="paragraph" w:customStyle="1" w:styleId="Nagwektabeli">
    <w:name w:val="Nagłówek tabeli"/>
    <w:basedOn w:val="Zawartotabeli"/>
    <w:qFormat/>
    <w:rsid w:val="00FA45B5"/>
  </w:style>
  <w:style w:type="paragraph" w:customStyle="1" w:styleId="Header">
    <w:name w:val="Header"/>
    <w:basedOn w:val="Normalny"/>
    <w:rsid w:val="00FA45B5"/>
  </w:style>
  <w:style w:type="table" w:styleId="Tabela-Siatka">
    <w:name w:val="Table Grid"/>
    <w:basedOn w:val="Standardowy"/>
    <w:rsid w:val="00A408A6"/>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ny"/>
    <w:rsid w:val="00930981"/>
    <w:pPr>
      <w:overflowPunct/>
      <w:spacing w:before="100" w:beforeAutospacing="1" w:after="142" w:line="288" w:lineRule="auto"/>
      <w:textAlignment w:val="auto"/>
    </w:pPr>
  </w:style>
  <w:style w:type="paragraph" w:customStyle="1" w:styleId="western1">
    <w:name w:val="western1"/>
    <w:basedOn w:val="Normalny"/>
    <w:rsid w:val="00930981"/>
    <w:pPr>
      <w:overflowPunct/>
      <w:spacing w:before="100" w:beforeAutospacing="1" w:after="142" w:line="288" w:lineRule="auto"/>
      <w:textAlignment w:val="auto"/>
    </w:pPr>
  </w:style>
</w:styles>
</file>

<file path=word/webSettings.xml><?xml version="1.0" encoding="utf-8"?>
<w:webSettings xmlns:r="http://schemas.openxmlformats.org/officeDocument/2006/relationships" xmlns:w="http://schemas.openxmlformats.org/wordprocessingml/2006/main">
  <w:divs>
    <w:div w:id="321008350">
      <w:bodyDiv w:val="1"/>
      <w:marLeft w:val="0"/>
      <w:marRight w:val="0"/>
      <w:marTop w:val="0"/>
      <w:marBottom w:val="0"/>
      <w:divBdr>
        <w:top w:val="none" w:sz="0" w:space="0" w:color="auto"/>
        <w:left w:val="none" w:sz="0" w:space="0" w:color="auto"/>
        <w:bottom w:val="none" w:sz="0" w:space="0" w:color="auto"/>
        <w:right w:val="none" w:sz="0" w:space="0" w:color="auto"/>
      </w:divBdr>
    </w:div>
    <w:div w:id="1294405438">
      <w:bodyDiv w:val="1"/>
      <w:marLeft w:val="0"/>
      <w:marRight w:val="0"/>
      <w:marTop w:val="0"/>
      <w:marBottom w:val="0"/>
      <w:divBdr>
        <w:top w:val="none" w:sz="0" w:space="0" w:color="auto"/>
        <w:left w:val="none" w:sz="0" w:space="0" w:color="auto"/>
        <w:bottom w:val="none" w:sz="0" w:space="0" w:color="auto"/>
        <w:right w:val="none" w:sz="0" w:space="0" w:color="auto"/>
      </w:divBdr>
    </w:div>
    <w:div w:id="2135715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1193</Words>
  <Characters>7163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Dziechciarz</dc:creator>
  <cp:lastModifiedBy>magda.dziechciarz</cp:lastModifiedBy>
  <cp:revision>4</cp:revision>
  <cp:lastPrinted>2021-03-24T12:08:00Z</cp:lastPrinted>
  <dcterms:created xsi:type="dcterms:W3CDTF">2021-03-24T10:56:00Z</dcterms:created>
  <dcterms:modified xsi:type="dcterms:W3CDTF">2021-03-24T12:08:00Z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