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48" w:tblpY="-590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6187"/>
        <w:gridCol w:w="1037"/>
        <w:gridCol w:w="851"/>
        <w:gridCol w:w="1134"/>
      </w:tblGrid>
      <w:tr w:rsidR="000116C3" w:rsidRPr="000116C3" w:rsidTr="00C54F60">
        <w:trPr>
          <w:trHeight w:val="73"/>
        </w:trPr>
        <w:tc>
          <w:tcPr>
            <w:tcW w:w="9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parametrów do pytania nr 9 </w:t>
            </w:r>
          </w:p>
        </w:tc>
      </w:tr>
      <w:tr w:rsidR="000116C3" w:rsidRPr="000116C3" w:rsidTr="000116C3">
        <w:trPr>
          <w:trHeight w:val="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Wymaganefunkcje</w:t>
            </w:r>
            <w:proofErr w:type="spellEnd"/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parametry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Wymogi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Ocena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punktowa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C3" w:rsidRPr="000116C3" w:rsidRDefault="000116C3" w:rsidP="000116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Odpowiedź TAK,</w:t>
            </w:r>
          </w:p>
          <w:p w:rsidR="000116C3" w:rsidRPr="000116C3" w:rsidRDefault="000116C3" w:rsidP="000116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Lub krótki opis</w:t>
            </w:r>
          </w:p>
          <w:p w:rsidR="000116C3" w:rsidRPr="000116C3" w:rsidRDefault="000116C3" w:rsidP="000116C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116C3">
              <w:rPr>
                <w:rFonts w:ascii="Tahoma" w:hAnsi="Tahoma" w:cs="Tahoma"/>
                <w:b/>
                <w:bCs/>
                <w:sz w:val="16"/>
                <w:szCs w:val="16"/>
              </w:rPr>
              <w:t>(wg kolumny „Wymogi”)</w:t>
            </w: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 xml:space="preserve">Aparat do znieczulenia ogólnego dla dzieci i dorosłych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Aparat do znieczulania ogólnego jezdny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Parametry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116C3">
              <w:rPr>
                <w:rFonts w:ascii="Tahoma" w:hAnsi="Tahoma" w:cs="Tahoma"/>
                <w:b/>
                <w:sz w:val="20"/>
                <w:szCs w:val="20"/>
              </w:rPr>
              <w:t>ogólne: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masa aparatu do 160 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zasilaniedostosowane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do 230 V 50 Hz</w:t>
            </w:r>
          </w:p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wbudowane fabrycznie gniazda elektryczne 230 V (minimum 3 gniazda)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Indywidualne, automatyczne bezpieczniki gniazd elektrycznych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wyposażony w blat do pisania i minimum dwie szuflady na akcesoria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koła jezdne (z hamulcem centralnym minimum dwóch kół)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wbudowane oświetlenie blatu typu LED z regulacją natężenia światła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zasilanie gazowe (N2O, O2, powietrze) z sieci centralnej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awaryjne zasilanie gazowego z 10 l butli (O2 i N2O)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Prezentacja ciśnień gazów zasilających na ekranie respiratora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precyzyjne przepływomierze dla tlenu, podtlenku azotu i powietrza, wyświetlanie przepływów gazów na ekranie respiratora aparatu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przepływomierze umożliwiające podaż gazów w systemie anestezji z niskimi przepływami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system automatycznego utrzymywania stężenia tlenu w mieszaninie z podtlenkiem azotu na poziomie min. 25%.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Automatyczne odcięcie podtlenku azotu przy braku zasilania w tlen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ujście gazów do podłączenia układów bezzastawkowych niezależne od układu okrężnego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Układoddechowy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kompaktowy układ oddechowy okrężny do wentylacji dorosłych i dzieci o niskiej podatności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5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układ oddechowy o prostej budowie, łatwy do wymiany i sterylizacji pozbawiony lateksu o całkowitej pojemności nie większej niż 3,5 L. wraz z pojemnikiem absorbera C02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możliwość stosowania zamiennego pochłaniaczy wielorazowych i jednorazowych podczas znieczulenia bez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rozszczelnienia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układu, stosowania dodatkowych elementów i stosowania narzędzi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przystosowany do prowadzenia znieczulenia w systemach półotwartym i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półzamkniętym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obejście tlenowe o dużej wydajności minimum 25 l/min.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wielorazowy pochłaniacz dwutlenku węgla o obudowie przeziernej i pojemności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>. 1,5 l.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2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wielorazoweautoklawowalneczujnikiprzepływu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2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eliminacja gazów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poanestetycznych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poza salę operacyjną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Respirator anestetyczny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Trybywentylacji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możliwość prowadzenia wentylacji ręcznej natychmiast po przełączeniu z wentylacji mechanicznej przy pomocy dźwigni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tryb wentylacji ciśnieniowo zmienny PC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tryb wentylacji objętościowo zmienny VC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SIMV – synchronizowana przerywana wentylacja wymuszona w trybie objętościowym i ciśnieniowym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precyzyjny wyzwalacz przepływowy z precyzyjną regulacją czułości min. od 0, 2 l/min – 10 l/min.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tryb wentylacji PSV z zabezpieczeniem na wypadek bezdechu (automatyczna wentylacja zapasowa)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42259154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tryb wentylacji ciśnieniowej z gwarantowaną objętością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zakres PEEP min. od 4 do 25 cm H2O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Regulacje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regulacja stosunku wdechu do wydechu – minimum 2: 1 do 1: 8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regulacja częstości oddechu minimum od 4 do 100 /min wentylacja objętościowa i ciśnieniowa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zakres objętości oddechowej min. 5 – 1500 ml w trybie ciśnieniowym oraz min. 20 – 1500 ml w trybie objętościowym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FF0000"/>
                <w:sz w:val="20"/>
                <w:szCs w:val="20"/>
                <w:highlight w:val="cyan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regulacja ciśnienia wdechu przy PCV minimum: od 5 do 60 cm H2O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regulowana pauza wdechowa w zakresie minimum 5-60 %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Alarmy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alarm niskiej pojemności minutowej MV i objętości oddechowej TV z regulowanymi progami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(górnym i dolnym)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Możliwość czasowego zawieszenia alarmu TV i CO2 np. podczas indukcji znieczulenia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alarm minimalnego i maksymalnego ciśnienia wdechowego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alarm braku zasilania w energię elektryczną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alarm braku zasilania w gazy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alarm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Apnea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 xml:space="preserve">POMIAR I OBRAZOWANIE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stężenie tlenu w gazach oddechowych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pomiarobjętościoddechowej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TV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pomiarpojemnościminutowej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MV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pomiarczęstościoddechowej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ciśnieniaszczytowego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ciśnieniaśredniego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ciśnienia PEEP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Manometr pomiaru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cisnienia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w drogach oddechowych wyświetlany na ekranie wentylatora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stężenie wdechowe i wydechowe tlenu w gazach oddechowych w aparacie do znieczulania metoda paramagnetyczna (bez użycia zużywalnych czujników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galwaniacznych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pomiar stężenia gazów i środków anestetycznych dla mieszaniny wdechowej i wydechowej dla: podtlenku azotu,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sevofluranu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desfluranu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izofluranu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w aparacie do znieczulania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automatyczna identyfikacja anestetyku wziewnego i pomiar MAC z uwzględnieniem wieku pacjenta w aparacie do znieczulania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kompatybilność modułu gazowego pomiędzy aparatem i monitorem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pomiar i obrazowanie spirometrii minimum pętli: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ciśnienie – objętość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ciśnienie – przepływ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przepływ – objętość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zapisania pętli referencyjnej i zapamiętania minimum 5 wyświetlonych pętli spirometrycznych.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Pomiar z wyświetlaniem podatności dróg oddechowych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Prezentacjagraficzna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ekran kolorowy dotykowy do prezentacji parametrów wentylacji i krzywych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o przekątnej minimum 15”. Rozdzielczość minimum 1024x768 pikseli.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Ekran niewbudowany w korpus aparatu do znieczulenia w celu lepszej wizualizacji (dotyczy ekranu głównego nie powielającego)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sterowanie poprzez pokrętło, przyciski i ekran dotykowy dla zwiększenia bezpieczeństwa pracy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indywidualnego konfigurowania minimum czterech stron ekranu respiratora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prezentacja prężności dwutlenku węgla - CO2 w strumieniu wdechowym i wydechowym w aparacie do znieczulenia wraz z krzywą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obrazowanie krzywej przepływu w drogach oddechowych w aparacie do znieczulenia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obrazowanie krzywej ciśnienia w drogach oddechowych w aparacie do znieczulenia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obrazowania krzywej koncentracji anestetyku wziewnego w aparacie do znieczulenia na wdechu i wydechu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PAROWNIK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możliwość podłączenia parowników do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sevofluranu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desfluranu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isofluranu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Uchwyt do dwóch parowników mocowanych jednocześnie typ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Selectatec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Autotest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autotest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z interakcją z użytkownikiem szczelności parowników z zapisem wyniku testu w dzienniku uwidacznianym na </w:t>
            </w:r>
            <w:r w:rsidRPr="000116C3">
              <w:rPr>
                <w:rFonts w:ascii="Tahoma" w:hAnsi="Tahoma" w:cs="Tahoma"/>
                <w:sz w:val="20"/>
                <w:szCs w:val="20"/>
              </w:rPr>
              <w:lastRenderedPageBreak/>
              <w:t xml:space="preserve">ekranie respiratora aparatu do znieczulenia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wbudowany ssak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injectorowy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do podłączenia dwóch pojemników 1,0 l z wymiennymi wkładami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komunikacja z aparatem w języku polskim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instrukcja obsługi w języku polskim z dostawą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Monitor pacjenta do aparatu do znieczulenia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ekran kolorowy dotykowy, typu TFT aktywna matryca, rozdzielczość min.1024 x 768 pikseli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przekątnaekranu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min. 15"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podłączenia niezależnego ekranu powielającego o przekątnej minimum 19”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wyboruprzezużytkownika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- minimum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trzyodprowadzenia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EKG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krzywaoddechowa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krzywapletyzmograficzna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krzyweciśnieniatętniczego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Minimum 8 wyświetlanych jednoczasowo na ekranie krzywych dynamicznych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zasilanie elektryczne dostosowane do 230V, 50Hz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awaryjne zasilanie elektryczne monitora z wbudowanego akumulatora na min. 60 minut w warunkach standardowych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dowolne konfigurowanie kolejności wyświetlanych krzywych i innych parametrów na ekranie monitora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sterowanie poprzez pokrętło i ekran dotykowy dla zwiększenia bezpieczeństwa pracy.</w:t>
            </w:r>
          </w:p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podłączenia klawiatury i myszki pod port USB oraz skanera kodów kreskowych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snapToGrid w:val="0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pamięć trendów tabelarycznych i graficznych mierzonych parametrów min. 24 h.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rozbudowy o trendy z 72h.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alarmy min.3-stopniowe (wizualne i akustyczne) wszystkich mierzonych parametrów z klasyfikacją priorytetu alarmu.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Rejestracja zdarzeń alarmowych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czasowego zawieszenia alarmu dźwiękowego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alarmy techniczne z podaniem przyczyny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pomiar EKG</w:t>
            </w:r>
            <w:r w:rsidRPr="000116C3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 zestawie odpowiednie kable połączeniowe i pomiarowe dla dorosłych i dzieci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ciągła rejestracja i możliwość równoczesnej prezentacji 6 (I, II, III,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aVL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aVF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Vx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>) odprowadzeń EKG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pomiar częstości serca minimalny zakres 30-250/min.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ciągła analiza położenia odcinka ST z możliwością ustawienia alarmów i wyświetlania trendów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podstawowaanalizaarytmiipracyserca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rozbudowy o zaawansowaną analizę arytmii.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detekcjasygnałustymulatoraserca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respiracja impedancyjna (prezentacja krzywej oddechowej i ilości oddechów w minucie) w zakresie min. 4-100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odd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>/min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pomiarsaturacji</w:t>
            </w:r>
            <w:proofErr w:type="spellEnd"/>
            <w:r w:rsidRPr="000116C3">
              <w:rPr>
                <w:rFonts w:ascii="Tahoma" w:hAnsi="Tahoma" w:cs="Tahoma"/>
                <w:b/>
                <w:sz w:val="20"/>
                <w:szCs w:val="20"/>
              </w:rPr>
              <w:t xml:space="preserve"> i tętna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zakres pomiaru saturacji SpO2 1-100% z prezentacją krzywej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pletyzmograficznej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z eliminacją artefaktów i zapewniający poprawne pomiary przy słabym lub zakłóconym sygnale,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na ekranie widoczny wskaźnik jakości sygnału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czujnik wielorazowy do pomiaru dla dorosłych i dzieci na palec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pomiartemperatur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pomiar temperatury obwodowej - powierzchniowej w zestawie kabel do połączenia czujnika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możliwośćpomiaru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minimum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dwóchtemperatur</w:t>
            </w:r>
            <w:proofErr w:type="spellEnd"/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wyświetlanie temperatury T1, T2 i ich różnicy T2-T1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b/>
                <w:sz w:val="20"/>
                <w:szCs w:val="20"/>
              </w:rPr>
              <w:t>pomiarciśnienia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ciśnienie tętnicze krwi metodą nieinwazyjną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pomiar wyzwalany ręcznie, automatycznie w wybranych odstępach czasowych, ciągłe pomiary przez określony czas, czas repetycji </w:t>
            </w:r>
            <w:r w:rsidRPr="000116C3">
              <w:rPr>
                <w:rFonts w:ascii="Tahoma" w:hAnsi="Tahoma" w:cs="Tahoma"/>
                <w:sz w:val="20"/>
                <w:szCs w:val="20"/>
              </w:rPr>
              <w:lastRenderedPageBreak/>
              <w:t xml:space="preserve">pomiarów automatycznych min. 1 – 240 min.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komplet wielorazowych mankietów bez lateksu dla dorosłych wraz z kablem połączeniowym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– (3 różne rozmiary mankietów: duży, średni, mały) oraz mankiet na przedramię dla otyłych pacjentów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pomiar ciśnienia krwi metodą bezpośrednią (krwawą) min. 2 kanały: tętnicze i OCŻ                               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Pomiar ciśnień inwazyjnych w zakresie min. - 25 do 320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Mozliwość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rozbudowy o pomiar głębokości znieczulenia metodą Entropii z modułu pomiarowego sterowanego z monitora funkcji życiowych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Inne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Możliwość rozbudowy o pomiar zwiotczenia mięśniowego z modułu pomiarowego sterowanego z monitora funkcji życiowych, w komplecie wielorazowy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mechanosensor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dla dorosłych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Wizualizacja czasu od ostatniego pomiaru TOF na ekranie monitora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3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Komunikat o ustępowaniu zwiotczenia na ekranie monitora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Style w:val="FontStyle18"/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rozbudowy o p</w:t>
            </w:r>
            <w:r w:rsidRPr="000116C3">
              <w:rPr>
                <w:rStyle w:val="FontStyle18"/>
                <w:rFonts w:ascii="Tahoma" w:hAnsi="Tahoma" w:cs="Tahoma"/>
                <w:sz w:val="20"/>
                <w:szCs w:val="20"/>
              </w:rPr>
              <w:t xml:space="preserve">omiar bodźców </w:t>
            </w:r>
            <w:proofErr w:type="spellStart"/>
            <w:r w:rsidRPr="000116C3">
              <w:rPr>
                <w:rStyle w:val="FontStyle18"/>
                <w:rFonts w:ascii="Tahoma" w:hAnsi="Tahoma" w:cs="Tahoma"/>
                <w:sz w:val="20"/>
                <w:szCs w:val="20"/>
              </w:rPr>
              <w:t>nocyceptywnych</w:t>
            </w:r>
            <w:proofErr w:type="spellEnd"/>
            <w:r w:rsidRPr="000116C3">
              <w:rPr>
                <w:rStyle w:val="FontStyle18"/>
                <w:rFonts w:ascii="Tahoma" w:hAnsi="Tahoma" w:cs="Tahoma"/>
                <w:sz w:val="20"/>
                <w:szCs w:val="20"/>
              </w:rPr>
              <w:t xml:space="preserve"> poprzez pomiar parametru wykazującego zmiany reakcji hemodynamicznych spowodowanych przez bodźce chirurgiczne i środki przeciwbólowe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Style w:val="FontStyle18"/>
                <w:rFonts w:ascii="Tahoma" w:hAnsi="Tahoma" w:cs="Tahoma"/>
                <w:sz w:val="20"/>
                <w:szCs w:val="20"/>
              </w:rPr>
              <w:t xml:space="preserve">przy pomocy czujnika saturacji </w:t>
            </w:r>
            <w:bookmarkStart w:id="1" w:name="_Hlk42261198"/>
            <w:r w:rsidRPr="000116C3">
              <w:rPr>
                <w:rStyle w:val="FontStyle18"/>
                <w:rFonts w:ascii="Tahoma" w:hAnsi="Tahoma" w:cs="Tahoma"/>
                <w:sz w:val="20"/>
                <w:szCs w:val="20"/>
              </w:rPr>
              <w:t>lub urządzenia zewnętrznego(w przypadku urządzenia zewnętrznego akcesoria dla min. 300 pacjentów)</w:t>
            </w:r>
            <w:bookmarkEnd w:id="1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możliwość pracy w sieci centralnego monitorowania. Możliwość podglądu ekranu innego monitora tego samego typu, pracującego w sieci bez konieczności używania dedykowanych serwerów czy centrali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28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aparat i monitor zgodne z dyrektywą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RoHS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(produkcja bez użycia materiałów potencjalnie toksycznych) potwierdzenie certyfikatem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ze względów ekonomicznych, serwisowych jak i przyszłej rozbudowy - monitor funkcji życiowych, moduły pomiarowe oraz aparat do znieczulenia ogólnego jednego producenta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Kompatybilność z posiadanym przez Zamawiającego systemem S/5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>polskojęzyczne oprogramowanie aparatu, monitora i modułów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Przeglądy gwarancyjne zgodnie z zaleceniem producenta, dokonywane na koszt Wykonawcy po uprzednim uzgodnieniu </w:t>
            </w:r>
            <w:r w:rsidRPr="000116C3">
              <w:rPr>
                <w:rFonts w:ascii="Tahoma" w:hAnsi="Tahoma" w:cs="Tahoma"/>
                <w:sz w:val="20"/>
                <w:szCs w:val="20"/>
              </w:rPr>
              <w:lastRenderedPageBreak/>
              <w:t>terminu z Zamawiającym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Autoryzowanyserwisgwarancyjny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i pogwarancyjny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Czas reakcji na zgłoszenie awarii – w okresie gwarancyjnym –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max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. 48 godz. (w </w:t>
            </w: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dnirobocze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Szkolenie w zakresie użytkowania sprzętu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31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sz w:val="20"/>
                <w:szCs w:val="20"/>
              </w:rPr>
              <w:t xml:space="preserve">Instrukcja obsługi w języku polskim  ( z podaniem, na których stronach instrukcji znajdują się wymagane parametry aparatu )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116C3" w:rsidRPr="000116C3" w:rsidTr="000116C3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116C3">
              <w:rPr>
                <w:rFonts w:ascii="Tahoma" w:hAnsi="Tahoma" w:cs="Tahoma"/>
                <w:sz w:val="20"/>
                <w:szCs w:val="20"/>
              </w:rPr>
              <w:t>Gwarancjaprzezokres</w:t>
            </w:r>
            <w:proofErr w:type="spellEnd"/>
            <w:r w:rsidRPr="000116C3">
              <w:rPr>
                <w:rFonts w:ascii="Tahoma" w:hAnsi="Tahoma" w:cs="Tahoma"/>
                <w:sz w:val="20"/>
                <w:szCs w:val="20"/>
              </w:rPr>
              <w:t xml:space="preserve"> min. 24 miesięcy</w:t>
            </w:r>
          </w:p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  <w:r w:rsidRPr="000116C3">
              <w:rPr>
                <w:rFonts w:ascii="Tahoma" w:hAnsi="Tahoma" w:cs="Tahoma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C3" w:rsidRPr="000116C3" w:rsidRDefault="000116C3" w:rsidP="000116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16C3" w:rsidRPr="000116C3" w:rsidRDefault="000116C3" w:rsidP="000116C3">
      <w:pPr>
        <w:spacing w:after="240"/>
        <w:rPr>
          <w:rFonts w:ascii="Tahoma" w:hAnsi="Tahoma" w:cs="Tahoma"/>
          <w:sz w:val="20"/>
          <w:szCs w:val="20"/>
        </w:rPr>
      </w:pPr>
    </w:p>
    <w:p w:rsidR="000116C3" w:rsidRPr="000116C3" w:rsidRDefault="000116C3">
      <w:pPr>
        <w:rPr>
          <w:rFonts w:ascii="Tahoma" w:hAnsi="Tahoma" w:cs="Tahoma"/>
          <w:sz w:val="20"/>
          <w:szCs w:val="20"/>
        </w:rPr>
      </w:pPr>
    </w:p>
    <w:sectPr w:rsidR="000116C3" w:rsidRPr="000116C3" w:rsidSect="0008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71E"/>
    <w:multiLevelType w:val="hybridMultilevel"/>
    <w:tmpl w:val="7D9A0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16C3"/>
    <w:rsid w:val="000116C3"/>
    <w:rsid w:val="0008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8">
    <w:name w:val="Font Style18"/>
    <w:rsid w:val="000116C3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1677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1</cp:revision>
  <dcterms:created xsi:type="dcterms:W3CDTF">2020-12-17T11:49:00Z</dcterms:created>
  <dcterms:modified xsi:type="dcterms:W3CDTF">2020-12-17T11:53:00Z</dcterms:modified>
</cp:coreProperties>
</file>