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EE" w:rsidRDefault="000760EE" w:rsidP="000760E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zapytania</w:t>
      </w:r>
    </w:p>
    <w:p w:rsidR="000760EE" w:rsidRDefault="000760EE" w:rsidP="000760E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 ZOZ/DZ/28/2021</w:t>
      </w:r>
    </w:p>
    <w:p w:rsidR="00651822" w:rsidRPr="008C6E5F" w:rsidRDefault="00ED06E0" w:rsidP="00E54F19">
      <w:pPr>
        <w:rPr>
          <w:rFonts w:ascii="Arial" w:hAnsi="Arial" w:cs="Arial"/>
          <w:b/>
          <w:sz w:val="22"/>
          <w:szCs w:val="22"/>
        </w:rPr>
      </w:pPr>
      <w:r w:rsidRPr="008C6E5F">
        <w:rPr>
          <w:rFonts w:ascii="Arial" w:hAnsi="Arial" w:cs="Arial"/>
          <w:b/>
          <w:sz w:val="22"/>
          <w:szCs w:val="22"/>
        </w:rPr>
        <w:t xml:space="preserve">PAKIET NR </w:t>
      </w:r>
      <w:r w:rsidR="001E5AC0" w:rsidRPr="008C6E5F">
        <w:rPr>
          <w:rFonts w:ascii="Arial" w:hAnsi="Arial" w:cs="Arial"/>
          <w:b/>
          <w:sz w:val="22"/>
          <w:szCs w:val="22"/>
        </w:rPr>
        <w:t>I</w:t>
      </w:r>
    </w:p>
    <w:p w:rsidR="00651822" w:rsidRPr="008C6E5F" w:rsidRDefault="00350FF3" w:rsidP="00350F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asortymentowo - cenowy</w:t>
      </w:r>
    </w:p>
    <w:p w:rsidR="002F3C54" w:rsidRPr="008C6E5F" w:rsidRDefault="00651822" w:rsidP="00E54F1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8C6E5F">
        <w:rPr>
          <w:rFonts w:ascii="Arial" w:hAnsi="Arial" w:cs="Arial"/>
          <w:b/>
          <w:bCs/>
          <w:color w:val="000000"/>
          <w:sz w:val="22"/>
          <w:szCs w:val="22"/>
        </w:rPr>
        <w:t>Odczynniki do badań serologicznych wykonywanych z wykorzystaniem techn</w:t>
      </w:r>
      <w:r w:rsidR="00C40E46" w:rsidRPr="008C6E5F">
        <w:rPr>
          <w:rFonts w:ascii="Arial" w:hAnsi="Arial" w:cs="Arial"/>
          <w:b/>
          <w:bCs/>
          <w:color w:val="000000"/>
          <w:sz w:val="22"/>
          <w:szCs w:val="22"/>
        </w:rPr>
        <w:t>iki</w:t>
      </w:r>
      <w:r w:rsidRPr="008C6E5F">
        <w:rPr>
          <w:rFonts w:ascii="Arial" w:hAnsi="Arial" w:cs="Arial"/>
          <w:b/>
          <w:bCs/>
          <w:color w:val="000000"/>
          <w:sz w:val="22"/>
          <w:szCs w:val="22"/>
        </w:rPr>
        <w:t xml:space="preserve"> aglutynacji kolumnowo-żelowej</w:t>
      </w:r>
    </w:p>
    <w:p w:rsidR="00651822" w:rsidRPr="008C6E5F" w:rsidRDefault="00651822" w:rsidP="00E54F19">
      <w:pPr>
        <w:rPr>
          <w:rFonts w:ascii="Arial" w:hAnsi="Arial" w:cs="Arial"/>
          <w:b/>
          <w:sz w:val="22"/>
          <w:szCs w:val="22"/>
        </w:rPr>
      </w:pPr>
    </w:p>
    <w:tbl>
      <w:tblPr>
        <w:tblW w:w="159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476"/>
        <w:gridCol w:w="1547"/>
        <w:gridCol w:w="1309"/>
        <w:gridCol w:w="1547"/>
        <w:gridCol w:w="1547"/>
        <w:gridCol w:w="1623"/>
        <w:gridCol w:w="1114"/>
        <w:gridCol w:w="1071"/>
        <w:gridCol w:w="1190"/>
      </w:tblGrid>
      <w:tr w:rsidR="003F76F1" w:rsidRPr="008C6E5F" w:rsidTr="000760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07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16B2" w:rsidRPr="008C6E5F" w:rsidRDefault="00A916B2" w:rsidP="0007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16B2" w:rsidRPr="008C6E5F" w:rsidRDefault="00A916B2" w:rsidP="0007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07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16B2" w:rsidRPr="008C6E5F" w:rsidRDefault="00A916B2" w:rsidP="0007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E5F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07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E5F">
              <w:rPr>
                <w:rFonts w:ascii="Arial" w:hAnsi="Arial" w:cs="Arial"/>
                <w:b/>
                <w:sz w:val="22"/>
                <w:szCs w:val="22"/>
              </w:rPr>
              <w:t>Numer katalogowy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07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E5F">
              <w:rPr>
                <w:rFonts w:ascii="Arial" w:hAnsi="Arial" w:cs="Arial"/>
                <w:b/>
                <w:sz w:val="22"/>
                <w:szCs w:val="22"/>
              </w:rPr>
              <w:t>Producent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07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E5F">
              <w:rPr>
                <w:rFonts w:ascii="Arial" w:hAnsi="Arial" w:cs="Arial"/>
                <w:b/>
                <w:sz w:val="22"/>
                <w:szCs w:val="22"/>
              </w:rPr>
              <w:t>Ilość na 36 miesięcy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07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E5F">
              <w:rPr>
                <w:rFonts w:ascii="Arial" w:hAnsi="Arial" w:cs="Arial"/>
                <w:b/>
                <w:sz w:val="22"/>
                <w:szCs w:val="22"/>
              </w:rPr>
              <w:t>Ilość sztuk     w opakowaniu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B2" w:rsidRPr="008C6E5F" w:rsidRDefault="00A916B2" w:rsidP="0007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E5F">
              <w:rPr>
                <w:rFonts w:ascii="Arial" w:hAnsi="Arial" w:cs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07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16B2" w:rsidRPr="008C6E5F" w:rsidRDefault="00A916B2" w:rsidP="0007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E5F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07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16B2" w:rsidRPr="008C6E5F" w:rsidRDefault="00A916B2" w:rsidP="0007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E5F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07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16B2" w:rsidRPr="008C6E5F" w:rsidRDefault="00A916B2" w:rsidP="0007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E5F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A916B2" w:rsidRPr="008C6E5F" w:rsidRDefault="00A916B2" w:rsidP="0007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E5F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</w:tr>
      <w:tr w:rsidR="00915FCC" w:rsidRPr="008C6E5F" w:rsidTr="00B22E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EE" w:rsidRDefault="0007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5FCC" w:rsidRPr="008C6E5F" w:rsidRDefault="00915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E5F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5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EE" w:rsidRDefault="0007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5FCC" w:rsidRDefault="00915F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E5F">
              <w:rPr>
                <w:rFonts w:ascii="Arial" w:hAnsi="Arial" w:cs="Arial"/>
                <w:b/>
                <w:sz w:val="22"/>
                <w:szCs w:val="22"/>
              </w:rPr>
              <w:t>Odczynniki do oznaczeń mikrometodą kolumnowo-żelową w teście PTA-LISS (posiadające certyfikat CE)</w:t>
            </w:r>
          </w:p>
          <w:p w:rsidR="000760EE" w:rsidRPr="008C6E5F" w:rsidRDefault="0007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6F1" w:rsidRPr="008C6E5F" w:rsidTr="000760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B2" w:rsidRPr="008C6E5F" w:rsidRDefault="00A9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B2" w:rsidRPr="008C6E5F" w:rsidRDefault="00A916B2" w:rsidP="000760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 xml:space="preserve">Karty do badania przeglądowego przeciwciał w pośrednim teście </w:t>
            </w:r>
            <w:proofErr w:type="spellStart"/>
            <w:r w:rsidRPr="008C6E5F">
              <w:rPr>
                <w:rFonts w:ascii="Arial" w:hAnsi="Arial" w:cs="Arial"/>
                <w:sz w:val="22"/>
                <w:szCs w:val="22"/>
              </w:rPr>
              <w:t>antyglobulinowym</w:t>
            </w:r>
            <w:proofErr w:type="spellEnd"/>
            <w:r w:rsidRPr="008C6E5F">
              <w:rPr>
                <w:rFonts w:ascii="Arial" w:hAnsi="Arial" w:cs="Arial"/>
                <w:sz w:val="22"/>
                <w:szCs w:val="22"/>
              </w:rPr>
              <w:t xml:space="preserve">. Mikrokarty wypełnione surowicą </w:t>
            </w:r>
            <w:proofErr w:type="spellStart"/>
            <w:r w:rsidRPr="008C6E5F">
              <w:rPr>
                <w:rFonts w:ascii="Arial" w:hAnsi="Arial" w:cs="Arial"/>
                <w:sz w:val="22"/>
                <w:szCs w:val="22"/>
              </w:rPr>
              <w:t>antyglobulinową</w:t>
            </w:r>
            <w:proofErr w:type="spellEnd"/>
            <w:r w:rsidRPr="008C6E5F">
              <w:rPr>
                <w:rFonts w:ascii="Arial" w:hAnsi="Arial" w:cs="Arial"/>
                <w:sz w:val="22"/>
                <w:szCs w:val="22"/>
              </w:rPr>
              <w:t xml:space="preserve"> poliwalentną.</w:t>
            </w:r>
          </w:p>
          <w:p w:rsidR="00A916B2" w:rsidRPr="008C6E5F" w:rsidRDefault="00A916B2" w:rsidP="000760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Termin ważności min. 9 miesięcy od daty dostawy.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B2" w:rsidRPr="008C6E5F" w:rsidRDefault="00A9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B2" w:rsidRPr="008C6E5F" w:rsidRDefault="00A9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B2" w:rsidRPr="008C6E5F" w:rsidRDefault="00915FCC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5 700</w:t>
            </w:r>
            <w:r w:rsidR="00A916B2" w:rsidRPr="008C6E5F">
              <w:rPr>
                <w:rFonts w:ascii="Arial" w:hAnsi="Arial" w:cs="Arial"/>
                <w:sz w:val="22"/>
                <w:szCs w:val="22"/>
              </w:rPr>
              <w:t xml:space="preserve"> sztuk kart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6F1" w:rsidRPr="008C6E5F" w:rsidTr="000760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B2" w:rsidRPr="008C6E5F" w:rsidRDefault="00A9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B2" w:rsidRPr="008C6E5F" w:rsidRDefault="00A916B2" w:rsidP="000760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 xml:space="preserve">Krwinki wzorcowe  do badania przeglądowego przeciwciał zawieszone w roztworze LISS. Krwinki trzypanelowe </w:t>
            </w:r>
            <w:r w:rsidR="00915FCC" w:rsidRPr="008C6E5F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8C6E5F">
              <w:rPr>
                <w:rFonts w:ascii="Arial" w:hAnsi="Arial" w:cs="Arial"/>
                <w:sz w:val="22"/>
                <w:szCs w:val="22"/>
              </w:rPr>
              <w:t>(</w:t>
            </w:r>
            <w:r w:rsidR="003F76F1" w:rsidRPr="008C6E5F">
              <w:rPr>
                <w:rFonts w:ascii="Arial" w:hAnsi="Arial" w:cs="Arial"/>
                <w:sz w:val="22"/>
                <w:szCs w:val="22"/>
              </w:rPr>
              <w:t xml:space="preserve">w opakowaniu po </w:t>
            </w:r>
            <w:r w:rsidRPr="008C6E5F">
              <w:rPr>
                <w:rFonts w:ascii="Arial" w:hAnsi="Arial" w:cs="Arial"/>
                <w:sz w:val="22"/>
                <w:szCs w:val="22"/>
              </w:rPr>
              <w:t>3x10ml) lub czteropanelowe (</w:t>
            </w:r>
            <w:r w:rsidR="003F76F1" w:rsidRPr="008C6E5F">
              <w:rPr>
                <w:rFonts w:ascii="Arial" w:hAnsi="Arial" w:cs="Arial"/>
                <w:sz w:val="22"/>
                <w:szCs w:val="22"/>
              </w:rPr>
              <w:t xml:space="preserve">w opakowaniu po </w:t>
            </w:r>
            <w:r w:rsidRPr="008C6E5F">
              <w:rPr>
                <w:rFonts w:ascii="Arial" w:hAnsi="Arial" w:cs="Arial"/>
                <w:sz w:val="22"/>
                <w:szCs w:val="22"/>
              </w:rPr>
              <w:t>4x10ml) zawierające wszystkie znaczące klinicznie antygeny.</w:t>
            </w:r>
          </w:p>
          <w:p w:rsidR="00A916B2" w:rsidRPr="008C6E5F" w:rsidRDefault="00A916B2" w:rsidP="000760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Termin ważności min. 5 tygodni od daty dostawy.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B2" w:rsidRPr="008C6E5F" w:rsidRDefault="00A9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B2" w:rsidRPr="008C6E5F" w:rsidRDefault="00A9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78 op</w:t>
            </w:r>
            <w:r w:rsidR="003F76F1" w:rsidRPr="008C6E5F">
              <w:rPr>
                <w:rFonts w:ascii="Arial" w:hAnsi="Arial" w:cs="Arial"/>
                <w:sz w:val="22"/>
                <w:szCs w:val="22"/>
              </w:rPr>
              <w:t>akowań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FCC" w:rsidRPr="008C6E5F" w:rsidTr="00B22E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EE" w:rsidRDefault="0007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5FCC" w:rsidRPr="008C6E5F" w:rsidRDefault="00915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E5F">
              <w:rPr>
                <w:rFonts w:ascii="Arial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15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EE" w:rsidRDefault="000760EE" w:rsidP="00915F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5FCC" w:rsidRDefault="00915FCC" w:rsidP="00915F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E5F">
              <w:rPr>
                <w:rFonts w:ascii="Arial" w:hAnsi="Arial" w:cs="Arial"/>
                <w:b/>
                <w:sz w:val="22"/>
                <w:szCs w:val="22"/>
              </w:rPr>
              <w:t>Grupa krwi noworodka (posiadające certyfikat CE)</w:t>
            </w:r>
          </w:p>
          <w:p w:rsidR="000760EE" w:rsidRPr="000760EE" w:rsidRDefault="000760EE" w:rsidP="00915F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76F1" w:rsidRPr="008C6E5F" w:rsidTr="000760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B2" w:rsidRPr="008C6E5F" w:rsidRDefault="00A9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B2" w:rsidRPr="008C6E5F" w:rsidRDefault="00A916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E5F">
              <w:rPr>
                <w:rFonts w:ascii="Arial" w:hAnsi="Arial" w:cs="Arial"/>
                <w:color w:val="000000"/>
                <w:sz w:val="22"/>
                <w:szCs w:val="22"/>
              </w:rPr>
              <w:t>Karta do oznaczenia grupy krwi noworodka w zakresie A-B-D- BTA. Kolumny wypełnione żelowym podłożem separującym i odczynnikami monoklonalnymi.</w:t>
            </w:r>
          </w:p>
          <w:p w:rsidR="00A916B2" w:rsidRPr="008C6E5F" w:rsidRDefault="00A916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E5F">
              <w:rPr>
                <w:rFonts w:ascii="Arial" w:hAnsi="Arial" w:cs="Arial"/>
                <w:color w:val="000000"/>
                <w:sz w:val="22"/>
                <w:szCs w:val="22"/>
              </w:rPr>
              <w:t>Termin ważności min. 9 miesięcy od daty dostawy.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B2" w:rsidRPr="008C6E5F" w:rsidRDefault="00A9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B2" w:rsidRPr="008C6E5F" w:rsidRDefault="00A9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600</w:t>
            </w:r>
            <w:r w:rsidR="003F76F1" w:rsidRPr="008C6E5F">
              <w:rPr>
                <w:rFonts w:ascii="Arial" w:hAnsi="Arial" w:cs="Arial"/>
                <w:sz w:val="22"/>
                <w:szCs w:val="22"/>
              </w:rPr>
              <w:t xml:space="preserve"> sztuk kart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6F1" w:rsidRPr="008C6E5F" w:rsidTr="000760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B2" w:rsidRPr="008C6E5F" w:rsidRDefault="00A9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B2" w:rsidRPr="008C6E5F" w:rsidRDefault="00A916B2" w:rsidP="00B430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E5F">
              <w:rPr>
                <w:rFonts w:ascii="Arial" w:hAnsi="Arial" w:cs="Arial"/>
                <w:color w:val="000000"/>
                <w:sz w:val="22"/>
                <w:szCs w:val="22"/>
              </w:rPr>
              <w:t xml:space="preserve">Karta do potwierdzenia oznaczenia grupy krwi noworodka w zakresie A-B-D - drugi klon. Kolumny wypełnione żelowym podłożem separującym i odczynnikami </w:t>
            </w:r>
            <w:r w:rsidRPr="008C6E5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monoklonalnymi.</w:t>
            </w:r>
          </w:p>
          <w:p w:rsidR="00A916B2" w:rsidRPr="008C6E5F" w:rsidRDefault="00A916B2" w:rsidP="00B430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E5F">
              <w:rPr>
                <w:rFonts w:ascii="Arial" w:hAnsi="Arial" w:cs="Arial"/>
                <w:color w:val="000000"/>
                <w:sz w:val="22"/>
                <w:szCs w:val="22"/>
              </w:rPr>
              <w:t>Termin ważności min. 9 miesięcy od daty dostawy.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B2" w:rsidRPr="008C6E5F" w:rsidRDefault="00A9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B2" w:rsidRPr="008C6E5F" w:rsidRDefault="00A9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300</w:t>
            </w:r>
            <w:r w:rsidR="003F76F1" w:rsidRPr="008C6E5F">
              <w:rPr>
                <w:rFonts w:ascii="Arial" w:hAnsi="Arial" w:cs="Arial"/>
                <w:sz w:val="22"/>
                <w:szCs w:val="22"/>
              </w:rPr>
              <w:t xml:space="preserve"> sztuk kart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77D" w:rsidRPr="008C6E5F" w:rsidTr="00B22E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EE" w:rsidRDefault="0007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177D" w:rsidRPr="008C6E5F" w:rsidRDefault="00D21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Pr="008C6E5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EE" w:rsidRDefault="0007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177D" w:rsidRDefault="00D217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E5F">
              <w:rPr>
                <w:rFonts w:ascii="Arial" w:hAnsi="Arial" w:cs="Arial"/>
                <w:b/>
                <w:sz w:val="22"/>
                <w:szCs w:val="22"/>
              </w:rPr>
              <w:t>Materiały zużywalne potrzebne do wykonania powyższych badań</w:t>
            </w:r>
          </w:p>
          <w:p w:rsidR="000760EE" w:rsidRPr="008C6E5F" w:rsidRDefault="0007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6F1" w:rsidRPr="008C6E5F" w:rsidTr="000760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EE" w:rsidRDefault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16B2" w:rsidRPr="008C6E5F" w:rsidRDefault="00A9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EE" w:rsidRDefault="000760EE" w:rsidP="003F76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916B2" w:rsidRDefault="003F76F1" w:rsidP="003F76F1">
            <w:pPr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Odczynnik LISS (</w:t>
            </w:r>
            <w:proofErr w:type="spellStart"/>
            <w:r w:rsidRPr="008C6E5F">
              <w:rPr>
                <w:rFonts w:ascii="Arial" w:hAnsi="Arial" w:cs="Arial"/>
                <w:sz w:val="22"/>
                <w:szCs w:val="22"/>
              </w:rPr>
              <w:t>D</w:t>
            </w:r>
            <w:r w:rsidR="00A916B2" w:rsidRPr="008C6E5F">
              <w:rPr>
                <w:rFonts w:ascii="Arial" w:hAnsi="Arial" w:cs="Arial"/>
                <w:sz w:val="22"/>
                <w:szCs w:val="22"/>
              </w:rPr>
              <w:t>iluent</w:t>
            </w:r>
            <w:proofErr w:type="spellEnd"/>
            <w:r w:rsidR="00A916B2" w:rsidRPr="008C6E5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760EE" w:rsidRPr="008C6E5F" w:rsidRDefault="000760EE" w:rsidP="003F76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B2" w:rsidRPr="008C6E5F" w:rsidRDefault="00A9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B2" w:rsidRPr="008C6E5F" w:rsidRDefault="00A9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EE" w:rsidRDefault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16B2" w:rsidRPr="008C6E5F" w:rsidRDefault="00D21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6</w:t>
            </w:r>
            <w:r w:rsidR="00A916B2" w:rsidRPr="008C6E5F">
              <w:rPr>
                <w:rFonts w:ascii="Arial" w:hAnsi="Arial" w:cs="Arial"/>
                <w:sz w:val="22"/>
                <w:szCs w:val="22"/>
              </w:rPr>
              <w:t xml:space="preserve"> 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B2" w:rsidRPr="008C6E5F" w:rsidRDefault="00A9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6F1" w:rsidRPr="008C6E5F" w:rsidTr="000760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EE" w:rsidRDefault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16B2" w:rsidRPr="008C6E5F" w:rsidRDefault="00A9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EE" w:rsidRDefault="000760EE" w:rsidP="003F76F1">
            <w:pPr>
              <w:rPr>
                <w:rFonts w:ascii="Arial" w:hAnsi="Arial" w:cs="Arial"/>
                <w:sz w:val="22"/>
                <w:szCs w:val="22"/>
              </w:rPr>
            </w:pPr>
          </w:p>
          <w:p w:rsidR="00A916B2" w:rsidRDefault="003F76F1" w:rsidP="003F76F1">
            <w:pPr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Końców</w:t>
            </w:r>
            <w:r w:rsidR="006C791A" w:rsidRPr="008C6E5F">
              <w:rPr>
                <w:rFonts w:ascii="Arial" w:hAnsi="Arial" w:cs="Arial"/>
                <w:sz w:val="22"/>
                <w:szCs w:val="22"/>
              </w:rPr>
              <w:t xml:space="preserve">ki do pipet dedykowane do poz. </w:t>
            </w:r>
            <w:r w:rsidRPr="008C6E5F">
              <w:rPr>
                <w:rFonts w:ascii="Arial" w:hAnsi="Arial" w:cs="Arial"/>
                <w:sz w:val="22"/>
                <w:szCs w:val="22"/>
              </w:rPr>
              <w:t>V.2</w:t>
            </w:r>
          </w:p>
          <w:p w:rsidR="000760EE" w:rsidRPr="008C6E5F" w:rsidRDefault="000760EE" w:rsidP="003F76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B2" w:rsidRPr="008C6E5F" w:rsidRDefault="00A9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B2" w:rsidRPr="008C6E5F" w:rsidRDefault="00A9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EE" w:rsidRDefault="000760EE" w:rsidP="00D21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16B2" w:rsidRPr="008C6E5F" w:rsidRDefault="00A916B2" w:rsidP="00D21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1</w:t>
            </w:r>
            <w:r w:rsidR="00D2177D" w:rsidRPr="008C6E5F">
              <w:rPr>
                <w:rFonts w:ascii="Arial" w:hAnsi="Arial" w:cs="Arial"/>
                <w:sz w:val="22"/>
                <w:szCs w:val="22"/>
              </w:rPr>
              <w:t>5</w:t>
            </w:r>
            <w:r w:rsidR="003F76F1" w:rsidRPr="008C6E5F">
              <w:rPr>
                <w:rFonts w:ascii="Arial" w:hAnsi="Arial" w:cs="Arial"/>
                <w:sz w:val="22"/>
                <w:szCs w:val="22"/>
              </w:rPr>
              <w:t> </w:t>
            </w:r>
            <w:r w:rsidRPr="008C6E5F">
              <w:rPr>
                <w:rFonts w:ascii="Arial" w:hAnsi="Arial" w:cs="Arial"/>
                <w:sz w:val="22"/>
                <w:szCs w:val="22"/>
              </w:rPr>
              <w:t>000</w:t>
            </w:r>
            <w:r w:rsidR="003F76F1" w:rsidRPr="008C6E5F">
              <w:rPr>
                <w:rFonts w:ascii="Arial" w:hAnsi="Arial" w:cs="Arial"/>
                <w:sz w:val="22"/>
                <w:szCs w:val="22"/>
              </w:rPr>
              <w:t xml:space="preserve"> sztuk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B2" w:rsidRPr="008C6E5F" w:rsidRDefault="00A9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6B2" w:rsidRPr="008C6E5F" w:rsidRDefault="00A916B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77D" w:rsidRPr="008C6E5F" w:rsidTr="000760E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E" w:rsidRDefault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177D" w:rsidRPr="008C6E5F" w:rsidRDefault="00D21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E" w:rsidRDefault="000760EE" w:rsidP="003F76F1">
            <w:pPr>
              <w:rPr>
                <w:rFonts w:ascii="Arial" w:hAnsi="Arial" w:cs="Arial"/>
                <w:sz w:val="22"/>
                <w:szCs w:val="22"/>
              </w:rPr>
            </w:pPr>
          </w:p>
          <w:p w:rsidR="00D2177D" w:rsidRDefault="00D2177D" w:rsidP="003F76F1">
            <w:pPr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Końcówki do pipet dedykowane do poz. V.3</w:t>
            </w:r>
          </w:p>
          <w:p w:rsidR="000760EE" w:rsidRPr="008C6E5F" w:rsidRDefault="000760EE" w:rsidP="003F76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7D" w:rsidRPr="008C6E5F" w:rsidRDefault="00D21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7D" w:rsidRPr="008C6E5F" w:rsidRDefault="00D21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EE" w:rsidRDefault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177D" w:rsidRPr="008C6E5F" w:rsidRDefault="00D21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15 000 sztuk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7D" w:rsidRPr="008C6E5F" w:rsidRDefault="00D21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7D" w:rsidRPr="008C6E5F" w:rsidRDefault="00D2177D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7D" w:rsidRPr="008C6E5F" w:rsidRDefault="00D2177D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7D" w:rsidRPr="008C6E5F" w:rsidRDefault="00D2177D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77D" w:rsidRPr="008C6E5F" w:rsidRDefault="00D2177D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129" w:rsidRPr="008C6E5F" w:rsidTr="00B22E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EE" w:rsidRDefault="0007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0129" w:rsidRPr="008C6E5F" w:rsidRDefault="00DF01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Pr="008C6E5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EE" w:rsidRDefault="000760EE" w:rsidP="00DF01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0129" w:rsidRDefault="00DF0129" w:rsidP="00DF01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E5F">
              <w:rPr>
                <w:rFonts w:ascii="Arial" w:hAnsi="Arial" w:cs="Arial"/>
                <w:b/>
                <w:sz w:val="22"/>
                <w:szCs w:val="22"/>
              </w:rPr>
              <w:t>Kontrola jakości</w:t>
            </w:r>
          </w:p>
          <w:p w:rsidR="000760EE" w:rsidRPr="008C6E5F" w:rsidRDefault="000760EE" w:rsidP="00DF01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6F1" w:rsidRPr="008C6E5F" w:rsidTr="000760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EE" w:rsidRDefault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60EE" w:rsidRDefault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60EE" w:rsidRDefault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16B2" w:rsidRPr="008C6E5F" w:rsidRDefault="00A9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EE" w:rsidRDefault="000760EE" w:rsidP="00EB7BEB">
            <w:pPr>
              <w:rPr>
                <w:rFonts w:ascii="Arial" w:hAnsi="Arial" w:cs="Arial"/>
                <w:sz w:val="22"/>
                <w:szCs w:val="22"/>
              </w:rPr>
            </w:pPr>
          </w:p>
          <w:p w:rsidR="000760EE" w:rsidRDefault="000760EE" w:rsidP="00EB7BEB">
            <w:pPr>
              <w:rPr>
                <w:rFonts w:ascii="Arial" w:hAnsi="Arial" w:cs="Arial"/>
                <w:sz w:val="22"/>
                <w:szCs w:val="22"/>
              </w:rPr>
            </w:pPr>
          </w:p>
          <w:p w:rsidR="00A916B2" w:rsidRPr="008C6E5F" w:rsidRDefault="00A916B2" w:rsidP="00EB7BE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6E5F">
              <w:rPr>
                <w:rFonts w:ascii="Arial" w:hAnsi="Arial" w:cs="Arial"/>
                <w:sz w:val="22"/>
                <w:szCs w:val="22"/>
              </w:rPr>
              <w:t>Zewnątrzlaboratoryjna</w:t>
            </w:r>
            <w:proofErr w:type="spellEnd"/>
            <w:r w:rsidRPr="008C6E5F">
              <w:rPr>
                <w:rFonts w:ascii="Arial" w:hAnsi="Arial" w:cs="Arial"/>
                <w:sz w:val="22"/>
                <w:szCs w:val="22"/>
              </w:rPr>
              <w:t xml:space="preserve"> kontrola jakości potwierdzona certyfikatem 4x rok do metod kolumnowych i probówkowych.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B2" w:rsidRPr="008C6E5F" w:rsidRDefault="00A916B2" w:rsidP="00EB7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B2" w:rsidRPr="008C6E5F" w:rsidRDefault="00A916B2" w:rsidP="00EB7B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B2" w:rsidRPr="008C6E5F" w:rsidRDefault="003F76F1" w:rsidP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 xml:space="preserve">9 zestawów </w:t>
            </w:r>
            <w:r w:rsidR="00A916B2" w:rsidRPr="008C6E5F">
              <w:rPr>
                <w:rFonts w:ascii="Arial" w:hAnsi="Arial" w:cs="Arial"/>
                <w:sz w:val="22"/>
                <w:szCs w:val="22"/>
              </w:rPr>
              <w:t>(wersja podstawowa)</w:t>
            </w:r>
          </w:p>
          <w:p w:rsidR="00A916B2" w:rsidRPr="008C6E5F" w:rsidRDefault="00A916B2" w:rsidP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3</w:t>
            </w:r>
            <w:r w:rsidR="003F76F1" w:rsidRPr="008C6E5F">
              <w:rPr>
                <w:rFonts w:ascii="Arial" w:hAnsi="Arial" w:cs="Arial"/>
                <w:sz w:val="22"/>
                <w:szCs w:val="22"/>
              </w:rPr>
              <w:t xml:space="preserve"> zestawy </w:t>
            </w:r>
            <w:r w:rsidRPr="008C6E5F">
              <w:rPr>
                <w:rFonts w:ascii="Arial" w:hAnsi="Arial" w:cs="Arial"/>
                <w:sz w:val="22"/>
                <w:szCs w:val="22"/>
              </w:rPr>
              <w:t xml:space="preserve">(wersja </w:t>
            </w:r>
            <w:proofErr w:type="spellStart"/>
            <w:r w:rsidRPr="008C6E5F">
              <w:rPr>
                <w:rFonts w:ascii="Arial" w:hAnsi="Arial" w:cs="Arial"/>
                <w:sz w:val="22"/>
                <w:szCs w:val="22"/>
              </w:rPr>
              <w:t>zaawansowa</w:t>
            </w:r>
            <w:r w:rsidR="003F76F1" w:rsidRPr="008C6E5F">
              <w:rPr>
                <w:rFonts w:ascii="Arial" w:hAnsi="Arial" w:cs="Arial"/>
                <w:sz w:val="22"/>
                <w:szCs w:val="22"/>
              </w:rPr>
              <w:t>-</w:t>
            </w:r>
            <w:r w:rsidRPr="008C6E5F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8C6E5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B2" w:rsidRPr="008C6E5F" w:rsidRDefault="00A91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22" w:rsidRPr="008C6E5F" w:rsidRDefault="00E8322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22" w:rsidRPr="008C6E5F" w:rsidRDefault="00E8322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22" w:rsidRPr="008C6E5F" w:rsidRDefault="00E8322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22" w:rsidRPr="008C6E5F" w:rsidRDefault="00E83222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1822" w:rsidRPr="008C6E5F" w:rsidRDefault="00651822" w:rsidP="00651822">
      <w:pPr>
        <w:jc w:val="both"/>
        <w:rPr>
          <w:rFonts w:ascii="Arial" w:hAnsi="Arial" w:cs="Arial"/>
          <w:sz w:val="22"/>
          <w:szCs w:val="22"/>
        </w:rPr>
      </w:pPr>
    </w:p>
    <w:p w:rsidR="00651822" w:rsidRPr="008C6E5F" w:rsidRDefault="00651822" w:rsidP="00651822">
      <w:pPr>
        <w:jc w:val="both"/>
        <w:rPr>
          <w:rFonts w:ascii="Arial" w:hAnsi="Arial" w:cs="Arial"/>
          <w:b/>
          <w:sz w:val="22"/>
          <w:szCs w:val="22"/>
        </w:rPr>
      </w:pPr>
      <w:r w:rsidRPr="008C6E5F">
        <w:rPr>
          <w:rFonts w:ascii="Arial" w:hAnsi="Arial" w:cs="Arial"/>
          <w:b/>
          <w:sz w:val="22"/>
          <w:szCs w:val="22"/>
        </w:rPr>
        <w:t>Dzierżawa sprzętu laboratoryjnego:</w:t>
      </w:r>
    </w:p>
    <w:p w:rsidR="001A7EF9" w:rsidRPr="008C6E5F" w:rsidRDefault="001A7EF9">
      <w:pPr>
        <w:rPr>
          <w:rFonts w:ascii="Arial" w:hAnsi="Arial" w:cs="Arial"/>
          <w:sz w:val="22"/>
          <w:szCs w:val="22"/>
        </w:rPr>
      </w:pPr>
    </w:p>
    <w:tbl>
      <w:tblPr>
        <w:tblW w:w="16184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4641"/>
        <w:gridCol w:w="1547"/>
        <w:gridCol w:w="1309"/>
        <w:gridCol w:w="1547"/>
        <w:gridCol w:w="1547"/>
        <w:gridCol w:w="1547"/>
        <w:gridCol w:w="1190"/>
        <w:gridCol w:w="1071"/>
        <w:gridCol w:w="1190"/>
      </w:tblGrid>
      <w:tr w:rsidR="00DF0129" w:rsidRPr="008C6E5F" w:rsidTr="00396C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29" w:rsidRPr="008C6E5F" w:rsidRDefault="00DF0129" w:rsidP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b/>
                <w:sz w:val="22"/>
                <w:szCs w:val="22"/>
              </w:rPr>
              <w:t>V.</w:t>
            </w:r>
          </w:p>
        </w:tc>
        <w:tc>
          <w:tcPr>
            <w:tcW w:w="15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29" w:rsidRPr="008C6E5F" w:rsidRDefault="00DF0129" w:rsidP="00827AE4">
            <w:pPr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b/>
                <w:sz w:val="22"/>
                <w:szCs w:val="22"/>
              </w:rPr>
              <w:t>Dzierżawa systemu</w:t>
            </w:r>
            <w:r w:rsidRPr="008C6E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6E5F">
              <w:rPr>
                <w:rFonts w:ascii="Arial" w:hAnsi="Arial" w:cs="Arial"/>
                <w:b/>
                <w:sz w:val="22"/>
                <w:szCs w:val="22"/>
              </w:rPr>
              <w:t>do oznaczeń mikrometodą kolumnowo-żelową w teście PTA-LISS na okres 36 miesięcy</w:t>
            </w:r>
          </w:p>
        </w:tc>
      </w:tr>
      <w:tr w:rsidR="00651822" w:rsidRPr="008C6E5F" w:rsidTr="00827AE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2" w:rsidRPr="008C6E5F" w:rsidRDefault="00651822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2" w:rsidRPr="008C6E5F" w:rsidRDefault="00651822" w:rsidP="00827AE4">
            <w:pPr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Wirówka do mikrokart o pojemności od 6 do 24 mikrokart ze stałą prędkością wirowania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2" w:rsidRPr="008C6E5F" w:rsidRDefault="00651822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2" w:rsidRPr="008C6E5F" w:rsidRDefault="00651822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2" w:rsidRPr="008C6E5F" w:rsidRDefault="00651822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2" w:rsidRPr="008C6E5F" w:rsidRDefault="00651822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2" w:rsidRPr="008C6E5F" w:rsidRDefault="00651822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2" w:rsidRPr="008C6E5F" w:rsidRDefault="00651822" w:rsidP="00827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2" w:rsidRPr="008C6E5F" w:rsidRDefault="00651822" w:rsidP="00827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2" w:rsidRPr="008C6E5F" w:rsidRDefault="00651822" w:rsidP="00827A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822" w:rsidRPr="008C6E5F" w:rsidTr="00827AE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2" w:rsidRPr="008C6E5F" w:rsidRDefault="00651822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2" w:rsidRPr="008C6E5F" w:rsidRDefault="00651822" w:rsidP="00D2177D">
            <w:pPr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 xml:space="preserve">Pipeta </w:t>
            </w:r>
            <w:r w:rsidR="00D2177D" w:rsidRPr="008C6E5F">
              <w:rPr>
                <w:rFonts w:ascii="Arial" w:hAnsi="Arial" w:cs="Arial"/>
                <w:sz w:val="22"/>
                <w:szCs w:val="22"/>
              </w:rPr>
              <w:t>manualna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2" w:rsidRPr="008C6E5F" w:rsidRDefault="00651822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2" w:rsidRPr="008C6E5F" w:rsidRDefault="00651822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2" w:rsidRPr="008C6E5F" w:rsidRDefault="00651822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2 sztuki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Pr="008C6E5F" w:rsidRDefault="001E110E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2" w:rsidRPr="008C6E5F" w:rsidRDefault="00651822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2" w:rsidRPr="008C6E5F" w:rsidRDefault="00651822" w:rsidP="00827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2" w:rsidRPr="008C6E5F" w:rsidRDefault="00651822" w:rsidP="00827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2" w:rsidRPr="008C6E5F" w:rsidRDefault="00651822" w:rsidP="00827A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77D" w:rsidRPr="008C6E5F" w:rsidTr="00827AE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7D" w:rsidRPr="008C6E5F" w:rsidRDefault="00D2177D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7D" w:rsidRPr="008C6E5F" w:rsidRDefault="00D2177D" w:rsidP="00827AE4">
            <w:pPr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Pipeta automatyczna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7D" w:rsidRPr="008C6E5F" w:rsidRDefault="00D2177D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7D" w:rsidRPr="008C6E5F" w:rsidRDefault="00D2177D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7D" w:rsidRPr="008C6E5F" w:rsidRDefault="006112E0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7D" w:rsidRPr="008C6E5F" w:rsidRDefault="00D2177D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7D" w:rsidRPr="008C6E5F" w:rsidRDefault="00D2177D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7D" w:rsidRPr="008C6E5F" w:rsidRDefault="00D2177D" w:rsidP="00827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7D" w:rsidRPr="008C6E5F" w:rsidRDefault="00D2177D" w:rsidP="00827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7D" w:rsidRPr="008C6E5F" w:rsidRDefault="00D2177D" w:rsidP="00827A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822" w:rsidRPr="008C6E5F" w:rsidTr="00827AE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2" w:rsidRPr="008C6E5F" w:rsidRDefault="00D2177D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4</w:t>
            </w:r>
            <w:r w:rsidR="00651822" w:rsidRPr="008C6E5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2" w:rsidRPr="008C6E5F" w:rsidRDefault="00651822" w:rsidP="00827AE4">
            <w:pPr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 xml:space="preserve">Dozownik do </w:t>
            </w:r>
            <w:proofErr w:type="spellStart"/>
            <w:r w:rsidRPr="008C6E5F">
              <w:rPr>
                <w:rFonts w:ascii="Arial" w:hAnsi="Arial" w:cs="Arial"/>
                <w:sz w:val="22"/>
                <w:szCs w:val="22"/>
              </w:rPr>
              <w:t>diluentu</w:t>
            </w:r>
            <w:proofErr w:type="spellEnd"/>
            <w:r w:rsidRPr="008C6E5F">
              <w:rPr>
                <w:rFonts w:ascii="Arial" w:hAnsi="Arial" w:cs="Arial"/>
                <w:sz w:val="22"/>
                <w:szCs w:val="22"/>
              </w:rPr>
              <w:t xml:space="preserve"> w zakresie dozowania 0.5 – 1.0 ml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2" w:rsidRPr="008C6E5F" w:rsidRDefault="00651822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2" w:rsidRPr="008C6E5F" w:rsidRDefault="00651822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22" w:rsidRPr="008C6E5F" w:rsidRDefault="00651822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2" w:rsidRPr="008C6E5F" w:rsidRDefault="00651822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2" w:rsidRPr="008C6E5F" w:rsidRDefault="00651822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2" w:rsidRPr="008C6E5F" w:rsidRDefault="00651822" w:rsidP="00827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2" w:rsidRPr="008C6E5F" w:rsidRDefault="00651822" w:rsidP="00827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2" w:rsidRPr="008C6E5F" w:rsidRDefault="00651822" w:rsidP="00827A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2E0" w:rsidRPr="008C6E5F" w:rsidTr="00827AE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E0" w:rsidRPr="008C6E5F" w:rsidRDefault="006112E0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E0" w:rsidRPr="008C6E5F" w:rsidRDefault="006112E0" w:rsidP="00827AE4">
            <w:pPr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Cieplarka do mikrokart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E0" w:rsidRPr="008C6E5F" w:rsidRDefault="006112E0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E0" w:rsidRPr="008C6E5F" w:rsidRDefault="006112E0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E0" w:rsidRPr="008C6E5F" w:rsidRDefault="006112E0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E0" w:rsidRPr="008C6E5F" w:rsidRDefault="006112E0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E0" w:rsidRPr="008C6E5F" w:rsidRDefault="006112E0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E0" w:rsidRPr="008C6E5F" w:rsidRDefault="006112E0" w:rsidP="00827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E0" w:rsidRPr="008C6E5F" w:rsidRDefault="006112E0" w:rsidP="00827A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E0" w:rsidRPr="008C6E5F" w:rsidRDefault="006112E0" w:rsidP="00827A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110E" w:rsidRPr="008C6E5F" w:rsidTr="001E110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Pr="008C6E5F" w:rsidRDefault="001E110E" w:rsidP="001E11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Pr="008C6E5F" w:rsidRDefault="001E110E" w:rsidP="001E110E">
            <w:pPr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b/>
                <w:sz w:val="22"/>
                <w:szCs w:val="22"/>
              </w:rPr>
              <w:t>Razem</w:t>
            </w:r>
            <w:r w:rsidRPr="008C6E5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Pr="008C6E5F" w:rsidRDefault="001E110E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Pr="008C6E5F" w:rsidRDefault="001E110E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Pr="008C6E5F" w:rsidRDefault="001E110E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Pr="008C6E5F" w:rsidRDefault="001E110E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0E" w:rsidRPr="008C6E5F" w:rsidRDefault="001E110E" w:rsidP="00827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0E" w:rsidRPr="008C6E5F" w:rsidRDefault="001E110E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0E" w:rsidRPr="008C6E5F" w:rsidRDefault="001E110E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0E" w:rsidRPr="008C6E5F" w:rsidRDefault="001E110E" w:rsidP="001E11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7EF9" w:rsidRPr="008C6E5F" w:rsidRDefault="001A7EF9">
      <w:pPr>
        <w:rPr>
          <w:rFonts w:ascii="Arial" w:hAnsi="Arial" w:cs="Arial"/>
          <w:b/>
          <w:color w:val="000000"/>
          <w:sz w:val="22"/>
          <w:szCs w:val="22"/>
        </w:rPr>
      </w:pPr>
    </w:p>
    <w:p w:rsidR="00ED02D5" w:rsidRPr="008C6E5F" w:rsidRDefault="00ED02D5" w:rsidP="00ED02D5">
      <w:pPr>
        <w:rPr>
          <w:rFonts w:ascii="Arial" w:hAnsi="Arial" w:cs="Arial"/>
          <w:b/>
          <w:sz w:val="22"/>
          <w:szCs w:val="22"/>
        </w:rPr>
      </w:pPr>
    </w:p>
    <w:p w:rsidR="000760EE" w:rsidRDefault="000760EE" w:rsidP="00811013">
      <w:pPr>
        <w:rPr>
          <w:rFonts w:ascii="Arial" w:hAnsi="Arial" w:cs="Arial"/>
          <w:b/>
          <w:sz w:val="22"/>
          <w:szCs w:val="22"/>
        </w:rPr>
      </w:pPr>
    </w:p>
    <w:p w:rsidR="00ED02D5" w:rsidRPr="008C6E5F" w:rsidRDefault="00ED02D5" w:rsidP="00811013">
      <w:pPr>
        <w:rPr>
          <w:rFonts w:ascii="Arial" w:hAnsi="Arial" w:cs="Arial"/>
          <w:b/>
          <w:color w:val="000000"/>
          <w:sz w:val="22"/>
          <w:szCs w:val="22"/>
        </w:rPr>
      </w:pPr>
      <w:r w:rsidRPr="008C6E5F">
        <w:rPr>
          <w:rFonts w:ascii="Arial" w:hAnsi="Arial" w:cs="Arial"/>
          <w:b/>
          <w:sz w:val="22"/>
          <w:szCs w:val="22"/>
        </w:rPr>
        <w:t>W</w:t>
      </w:r>
      <w:r w:rsidR="00811013" w:rsidRPr="008C6E5F">
        <w:rPr>
          <w:rFonts w:ascii="Arial" w:hAnsi="Arial" w:cs="Arial"/>
          <w:b/>
          <w:sz w:val="22"/>
          <w:szCs w:val="22"/>
        </w:rPr>
        <w:t xml:space="preserve">arunki </w:t>
      </w:r>
      <w:r w:rsidRPr="008C6E5F">
        <w:rPr>
          <w:rFonts w:ascii="Arial" w:hAnsi="Arial" w:cs="Arial"/>
          <w:b/>
          <w:sz w:val="22"/>
          <w:szCs w:val="22"/>
        </w:rPr>
        <w:t xml:space="preserve">graniczne dla </w:t>
      </w:r>
      <w:r w:rsidRPr="008C6E5F">
        <w:rPr>
          <w:rFonts w:ascii="Arial" w:hAnsi="Arial" w:cs="Arial"/>
          <w:b/>
          <w:bCs/>
          <w:color w:val="000000"/>
          <w:sz w:val="22"/>
          <w:szCs w:val="22"/>
        </w:rPr>
        <w:t>odczynników do badań serologicznych wykonywany</w:t>
      </w:r>
      <w:r w:rsidR="00C40E46" w:rsidRPr="008C6E5F">
        <w:rPr>
          <w:rFonts w:ascii="Arial" w:hAnsi="Arial" w:cs="Arial"/>
          <w:b/>
          <w:bCs/>
          <w:color w:val="000000"/>
          <w:sz w:val="22"/>
          <w:szCs w:val="22"/>
        </w:rPr>
        <w:t>ch z wykorzystaniem techniki</w:t>
      </w:r>
      <w:r w:rsidRPr="008C6E5F">
        <w:rPr>
          <w:rFonts w:ascii="Arial" w:hAnsi="Arial" w:cs="Arial"/>
          <w:b/>
          <w:bCs/>
          <w:color w:val="000000"/>
          <w:sz w:val="22"/>
          <w:szCs w:val="22"/>
        </w:rPr>
        <w:t xml:space="preserve"> aglutynacji kolumnowo-żelowej</w:t>
      </w:r>
      <w:r w:rsidR="00811013" w:rsidRPr="008C6E5F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D02D5" w:rsidRPr="008C6E5F" w:rsidRDefault="00ED02D5" w:rsidP="00ED02D5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477800" w:rsidRPr="008C6E5F" w:rsidRDefault="00F94E3D" w:rsidP="000760EE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C6E5F">
        <w:rPr>
          <w:rFonts w:ascii="Arial" w:hAnsi="Arial" w:cs="Arial"/>
          <w:color w:val="000000"/>
          <w:sz w:val="22"/>
          <w:szCs w:val="22"/>
        </w:rPr>
        <w:t xml:space="preserve">Wszystkie </w:t>
      </w:r>
      <w:r w:rsidR="00ED02D5" w:rsidRPr="008C6E5F">
        <w:rPr>
          <w:rFonts w:ascii="Arial" w:hAnsi="Arial" w:cs="Arial"/>
          <w:color w:val="000000"/>
          <w:sz w:val="22"/>
          <w:szCs w:val="22"/>
        </w:rPr>
        <w:t xml:space="preserve">niezbędne elementy (mikrokarty, </w:t>
      </w:r>
      <w:r w:rsidRPr="008C6E5F">
        <w:rPr>
          <w:rFonts w:ascii="Arial" w:hAnsi="Arial" w:cs="Arial"/>
          <w:color w:val="000000"/>
          <w:sz w:val="22"/>
          <w:szCs w:val="22"/>
        </w:rPr>
        <w:t xml:space="preserve">odczynniki, </w:t>
      </w:r>
      <w:r w:rsidR="0090107D" w:rsidRPr="008C6E5F">
        <w:rPr>
          <w:rFonts w:ascii="Arial" w:hAnsi="Arial" w:cs="Arial"/>
          <w:color w:val="000000"/>
          <w:sz w:val="22"/>
          <w:szCs w:val="22"/>
        </w:rPr>
        <w:t xml:space="preserve">krwinki, </w:t>
      </w:r>
      <w:r w:rsidRPr="008C6E5F">
        <w:rPr>
          <w:rFonts w:ascii="Arial" w:hAnsi="Arial" w:cs="Arial"/>
          <w:color w:val="000000"/>
          <w:sz w:val="22"/>
          <w:szCs w:val="22"/>
        </w:rPr>
        <w:t>sprzęt</w:t>
      </w:r>
      <w:r w:rsidR="00477800" w:rsidRPr="008C6E5F">
        <w:rPr>
          <w:rFonts w:ascii="Arial" w:hAnsi="Arial" w:cs="Arial"/>
          <w:color w:val="000000"/>
          <w:sz w:val="22"/>
          <w:szCs w:val="22"/>
        </w:rPr>
        <w:t xml:space="preserve">) do wykonania badania od  jednego producenta, zapewniające walidację metody. Nie dotyczy </w:t>
      </w:r>
      <w:r w:rsidRPr="008C6E5F">
        <w:rPr>
          <w:rFonts w:ascii="Arial" w:hAnsi="Arial" w:cs="Arial"/>
          <w:color w:val="000000"/>
          <w:sz w:val="22"/>
          <w:szCs w:val="22"/>
        </w:rPr>
        <w:t xml:space="preserve">pipet oraz </w:t>
      </w:r>
      <w:r w:rsidR="00477800" w:rsidRPr="008C6E5F">
        <w:rPr>
          <w:rFonts w:ascii="Arial" w:hAnsi="Arial" w:cs="Arial"/>
          <w:color w:val="000000"/>
          <w:sz w:val="22"/>
          <w:szCs w:val="22"/>
        </w:rPr>
        <w:t>końcówek do pipet.</w:t>
      </w:r>
    </w:p>
    <w:p w:rsidR="001A7EF9" w:rsidRPr="008C6E5F" w:rsidRDefault="001A7EF9" w:rsidP="000760E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sz w:val="22"/>
          <w:szCs w:val="22"/>
        </w:rPr>
        <w:t xml:space="preserve">Karty wypełnione odczynnikami </w:t>
      </w:r>
      <w:r w:rsidR="008015C8" w:rsidRPr="008C6E5F">
        <w:rPr>
          <w:rFonts w:ascii="Arial" w:hAnsi="Arial" w:cs="Arial"/>
          <w:sz w:val="22"/>
          <w:szCs w:val="22"/>
        </w:rPr>
        <w:t>wyłącznie</w:t>
      </w:r>
      <w:r w:rsidRPr="008C6E5F">
        <w:rPr>
          <w:rFonts w:ascii="Arial" w:hAnsi="Arial" w:cs="Arial"/>
          <w:sz w:val="22"/>
          <w:szCs w:val="22"/>
        </w:rPr>
        <w:t xml:space="preserve"> przez producenta</w:t>
      </w:r>
      <w:r w:rsidR="002E507C" w:rsidRPr="008C6E5F">
        <w:rPr>
          <w:rFonts w:ascii="Arial" w:hAnsi="Arial" w:cs="Arial"/>
          <w:sz w:val="22"/>
          <w:szCs w:val="22"/>
        </w:rPr>
        <w:t>.</w:t>
      </w:r>
    </w:p>
    <w:p w:rsidR="001A7EF9" w:rsidRPr="008C6E5F" w:rsidRDefault="001A7EF9" w:rsidP="000760E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sz w:val="22"/>
          <w:szCs w:val="22"/>
        </w:rPr>
        <w:t>Odczynnik LISS ważny mi</w:t>
      </w:r>
      <w:r w:rsidR="00ED02D5" w:rsidRPr="008C6E5F">
        <w:rPr>
          <w:rFonts w:ascii="Arial" w:hAnsi="Arial" w:cs="Arial"/>
          <w:sz w:val="22"/>
          <w:szCs w:val="22"/>
        </w:rPr>
        <w:t>nimum 9</w:t>
      </w:r>
      <w:r w:rsidR="00E450F0" w:rsidRPr="008C6E5F">
        <w:rPr>
          <w:rFonts w:ascii="Arial" w:hAnsi="Arial" w:cs="Arial"/>
          <w:sz w:val="22"/>
          <w:szCs w:val="22"/>
        </w:rPr>
        <w:t xml:space="preserve"> miesięcy od daty otwarcia opakowania</w:t>
      </w:r>
      <w:r w:rsidR="002E507C" w:rsidRPr="008C6E5F">
        <w:rPr>
          <w:rFonts w:ascii="Arial" w:hAnsi="Arial" w:cs="Arial"/>
          <w:sz w:val="22"/>
          <w:szCs w:val="22"/>
        </w:rPr>
        <w:t>.</w:t>
      </w:r>
    </w:p>
    <w:p w:rsidR="001A7EF9" w:rsidRPr="008C6E5F" w:rsidRDefault="001A7EF9" w:rsidP="000760E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sz w:val="22"/>
          <w:szCs w:val="22"/>
        </w:rPr>
        <w:t>Karty wypełnione odczynnikami z podłożem separującym</w:t>
      </w:r>
      <w:r w:rsidR="00EB7BEB" w:rsidRPr="008C6E5F">
        <w:rPr>
          <w:rFonts w:ascii="Arial" w:hAnsi="Arial" w:cs="Arial"/>
          <w:sz w:val="22"/>
          <w:szCs w:val="22"/>
        </w:rPr>
        <w:t xml:space="preserve"> </w:t>
      </w:r>
      <w:r w:rsidR="002E507C" w:rsidRPr="008C6E5F">
        <w:rPr>
          <w:rFonts w:ascii="Arial" w:hAnsi="Arial" w:cs="Arial"/>
          <w:sz w:val="22"/>
          <w:szCs w:val="22"/>
        </w:rPr>
        <w:t>(</w:t>
      </w:r>
      <w:r w:rsidR="00EB7BEB" w:rsidRPr="008C6E5F">
        <w:rPr>
          <w:rFonts w:ascii="Arial" w:hAnsi="Arial" w:cs="Arial"/>
          <w:sz w:val="22"/>
          <w:szCs w:val="22"/>
        </w:rPr>
        <w:t>żelowym</w:t>
      </w:r>
      <w:r w:rsidR="002E507C" w:rsidRPr="008C6E5F">
        <w:rPr>
          <w:rFonts w:ascii="Arial" w:hAnsi="Arial" w:cs="Arial"/>
          <w:sz w:val="22"/>
          <w:szCs w:val="22"/>
        </w:rPr>
        <w:t>).</w:t>
      </w:r>
    </w:p>
    <w:p w:rsidR="001A7EF9" w:rsidRPr="008C6E5F" w:rsidRDefault="001A7EF9" w:rsidP="000760E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sz w:val="22"/>
          <w:szCs w:val="22"/>
        </w:rPr>
        <w:t>Dostawa odczynników według przedstawionego harmonogramu</w:t>
      </w:r>
      <w:r w:rsidR="00E450F0" w:rsidRPr="008C6E5F">
        <w:rPr>
          <w:rFonts w:ascii="Arial" w:hAnsi="Arial" w:cs="Arial"/>
          <w:sz w:val="22"/>
          <w:szCs w:val="22"/>
        </w:rPr>
        <w:t xml:space="preserve"> na dany rok</w:t>
      </w:r>
      <w:r w:rsidR="008F2BBD" w:rsidRPr="008C6E5F">
        <w:rPr>
          <w:rFonts w:ascii="Arial" w:hAnsi="Arial" w:cs="Arial"/>
          <w:sz w:val="22"/>
          <w:szCs w:val="22"/>
        </w:rPr>
        <w:t>, zgodnie z zapotrzebowaniem Zamawiającego</w:t>
      </w:r>
      <w:r w:rsidR="002E507C" w:rsidRPr="008C6E5F">
        <w:rPr>
          <w:rFonts w:ascii="Arial" w:hAnsi="Arial" w:cs="Arial"/>
          <w:color w:val="000000"/>
          <w:sz w:val="22"/>
          <w:szCs w:val="22"/>
        </w:rPr>
        <w:t>. Transport do Zamawiającego odbywać się ma w warunkach zgodnych z zaleceniami producenta.</w:t>
      </w:r>
    </w:p>
    <w:p w:rsidR="002C68F5" w:rsidRPr="008C6E5F" w:rsidRDefault="00EB7BEB" w:rsidP="000760E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sz w:val="22"/>
          <w:szCs w:val="22"/>
        </w:rPr>
        <w:t xml:space="preserve">Mikrokarta składająca się z 6-8 </w:t>
      </w:r>
      <w:r w:rsidR="001A7EF9" w:rsidRPr="008C6E5F">
        <w:rPr>
          <w:rFonts w:ascii="Arial" w:hAnsi="Arial" w:cs="Arial"/>
          <w:sz w:val="22"/>
          <w:szCs w:val="22"/>
        </w:rPr>
        <w:t>dołków</w:t>
      </w:r>
      <w:r w:rsidR="002C68F5" w:rsidRPr="008C6E5F">
        <w:rPr>
          <w:rFonts w:ascii="Arial" w:hAnsi="Arial" w:cs="Arial"/>
          <w:sz w:val="22"/>
          <w:szCs w:val="22"/>
        </w:rPr>
        <w:t xml:space="preserve"> (kanałów)</w:t>
      </w:r>
      <w:r w:rsidR="001A7EF9" w:rsidRPr="008C6E5F">
        <w:rPr>
          <w:rFonts w:ascii="Arial" w:hAnsi="Arial" w:cs="Arial"/>
          <w:sz w:val="22"/>
          <w:szCs w:val="22"/>
        </w:rPr>
        <w:t xml:space="preserve"> oraz screening przeciwciał na 3</w:t>
      </w:r>
      <w:r w:rsidRPr="008C6E5F">
        <w:rPr>
          <w:rFonts w:ascii="Arial" w:hAnsi="Arial" w:cs="Arial"/>
          <w:sz w:val="22"/>
          <w:szCs w:val="22"/>
        </w:rPr>
        <w:t>-4</w:t>
      </w:r>
      <w:r w:rsidR="001A7EF9" w:rsidRPr="008C6E5F">
        <w:rPr>
          <w:rFonts w:ascii="Arial" w:hAnsi="Arial" w:cs="Arial"/>
          <w:sz w:val="22"/>
          <w:szCs w:val="22"/>
        </w:rPr>
        <w:t xml:space="preserve"> krwinkach wzorcowych</w:t>
      </w:r>
      <w:r w:rsidR="002E507C" w:rsidRPr="008C6E5F">
        <w:rPr>
          <w:rFonts w:ascii="Arial" w:hAnsi="Arial" w:cs="Arial"/>
          <w:sz w:val="22"/>
          <w:szCs w:val="22"/>
        </w:rPr>
        <w:t>.</w:t>
      </w:r>
      <w:r w:rsidR="002C68F5" w:rsidRPr="008C6E5F">
        <w:rPr>
          <w:rFonts w:ascii="Arial" w:hAnsi="Arial" w:cs="Arial"/>
          <w:sz w:val="22"/>
          <w:szCs w:val="22"/>
        </w:rPr>
        <w:t xml:space="preserve"> Brak możliwości mieszania systemów                     6 i 8 dołkowych (kanałowych).</w:t>
      </w:r>
    </w:p>
    <w:p w:rsidR="001A7EF9" w:rsidRPr="008C6E5F" w:rsidRDefault="001A7EF9" w:rsidP="000760EE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C6E5F">
        <w:rPr>
          <w:rFonts w:ascii="Arial" w:hAnsi="Arial" w:cs="Arial"/>
          <w:sz w:val="22"/>
          <w:szCs w:val="22"/>
        </w:rPr>
        <w:t>Wszystkie mikrokarty przechowywane w temperaturze pokojowej (18-25 stopni C)</w:t>
      </w:r>
      <w:r w:rsidR="002E507C" w:rsidRPr="008C6E5F">
        <w:rPr>
          <w:rFonts w:ascii="Arial" w:hAnsi="Arial" w:cs="Arial"/>
          <w:sz w:val="22"/>
          <w:szCs w:val="22"/>
        </w:rPr>
        <w:t>.</w:t>
      </w:r>
    </w:p>
    <w:p w:rsidR="008F2BBD" w:rsidRPr="008C6E5F" w:rsidRDefault="008F2BBD" w:rsidP="000760E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sz w:val="22"/>
          <w:szCs w:val="22"/>
        </w:rPr>
        <w:t>Jedna z 2 kart dla oznaczenia grup</w:t>
      </w:r>
      <w:r w:rsidR="00477800" w:rsidRPr="008C6E5F">
        <w:rPr>
          <w:rFonts w:ascii="Arial" w:hAnsi="Arial" w:cs="Arial"/>
          <w:sz w:val="22"/>
          <w:szCs w:val="22"/>
        </w:rPr>
        <w:t xml:space="preserve">y krwi u noworodka (tj. poz. II- 1 lub II- </w:t>
      </w:r>
      <w:r w:rsidRPr="008C6E5F">
        <w:rPr>
          <w:rFonts w:ascii="Arial" w:hAnsi="Arial" w:cs="Arial"/>
          <w:sz w:val="22"/>
          <w:szCs w:val="22"/>
        </w:rPr>
        <w:t>2) musi zawierać odczynnik wykrywający słabą ekspresję antygenu D (</w:t>
      </w:r>
      <w:r w:rsidR="00F94E3D" w:rsidRPr="008C6E5F">
        <w:rPr>
          <w:rFonts w:ascii="Arial" w:hAnsi="Arial" w:cs="Arial"/>
          <w:sz w:val="22"/>
          <w:szCs w:val="22"/>
        </w:rPr>
        <w:t xml:space="preserve">w tym kat. </w:t>
      </w:r>
      <w:r w:rsidRPr="008C6E5F">
        <w:rPr>
          <w:rFonts w:ascii="Arial" w:hAnsi="Arial" w:cs="Arial"/>
          <w:sz w:val="22"/>
          <w:szCs w:val="22"/>
        </w:rPr>
        <w:t xml:space="preserve">D VI+). </w:t>
      </w:r>
    </w:p>
    <w:p w:rsidR="008F2BBD" w:rsidRPr="008C6E5F" w:rsidRDefault="00ED02D5" w:rsidP="000760E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sz w:val="22"/>
          <w:szCs w:val="22"/>
        </w:rPr>
        <w:t xml:space="preserve">Podać nazwy klonów odczynników anty- A, anty-B, anty-D (VI-), anty- D(VI+) dla pozycji II -1 oraz II-2. </w:t>
      </w:r>
      <w:r w:rsidR="008F2BBD" w:rsidRPr="008C6E5F">
        <w:rPr>
          <w:rFonts w:ascii="Arial" w:hAnsi="Arial" w:cs="Arial"/>
          <w:sz w:val="22"/>
          <w:szCs w:val="22"/>
        </w:rPr>
        <w:t xml:space="preserve">Karta przeznaczona do potwierdzenia grupy krwi u noworodka musi zawierać odczynniki innych klonów niż podstawowa karta przeznaczona do określenia grupy krwi u noworodka. </w:t>
      </w:r>
    </w:p>
    <w:p w:rsidR="00317A06" w:rsidRPr="008C6E5F" w:rsidRDefault="00317A06" w:rsidP="000760EE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C6E5F">
        <w:rPr>
          <w:rFonts w:ascii="Arial" w:hAnsi="Arial" w:cs="Arial"/>
          <w:color w:val="000000"/>
          <w:sz w:val="22"/>
          <w:szCs w:val="22"/>
        </w:rPr>
        <w:t>Ulotki dotyczące technik wyko</w:t>
      </w:r>
      <w:r w:rsidR="00477800" w:rsidRPr="008C6E5F">
        <w:rPr>
          <w:rFonts w:ascii="Arial" w:hAnsi="Arial" w:cs="Arial"/>
          <w:color w:val="000000"/>
          <w:sz w:val="22"/>
          <w:szCs w:val="22"/>
        </w:rPr>
        <w:t>nywanych badań w języku polskim.</w:t>
      </w:r>
    </w:p>
    <w:p w:rsidR="002E507C" w:rsidRPr="008C6E5F" w:rsidRDefault="002C763D" w:rsidP="000760EE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C6E5F">
        <w:rPr>
          <w:rFonts w:ascii="Arial" w:hAnsi="Arial" w:cs="Arial"/>
          <w:color w:val="000000"/>
          <w:sz w:val="22"/>
          <w:szCs w:val="22"/>
        </w:rPr>
        <w:t>Go</w:t>
      </w:r>
      <w:r w:rsidR="002E507C" w:rsidRPr="008C6E5F">
        <w:rPr>
          <w:rFonts w:ascii="Arial" w:hAnsi="Arial" w:cs="Arial"/>
          <w:color w:val="000000"/>
          <w:sz w:val="22"/>
          <w:szCs w:val="22"/>
        </w:rPr>
        <w:t xml:space="preserve">towe do użycia krwinki wzorcowe </w:t>
      </w:r>
      <w:r w:rsidRPr="008C6E5F">
        <w:rPr>
          <w:rFonts w:ascii="Arial" w:hAnsi="Arial" w:cs="Arial"/>
          <w:color w:val="000000"/>
          <w:sz w:val="22"/>
          <w:szCs w:val="22"/>
        </w:rPr>
        <w:t xml:space="preserve">o zgodnym z wymaganiami IHIT fenotypie do przeglądowego badania na obecność przeciwciał (termin ważności krwinek wzorcowych </w:t>
      </w:r>
      <w:r w:rsidR="002E507C" w:rsidRPr="008C6E5F">
        <w:rPr>
          <w:rFonts w:ascii="Arial" w:hAnsi="Arial" w:cs="Arial"/>
          <w:color w:val="000000"/>
          <w:sz w:val="22"/>
          <w:szCs w:val="22"/>
        </w:rPr>
        <w:t xml:space="preserve">min. </w:t>
      </w:r>
      <w:r w:rsidR="00D27980" w:rsidRPr="008C6E5F">
        <w:rPr>
          <w:rFonts w:ascii="Arial" w:hAnsi="Arial" w:cs="Arial"/>
          <w:color w:val="000000"/>
          <w:sz w:val="22"/>
          <w:szCs w:val="22"/>
        </w:rPr>
        <w:t>5</w:t>
      </w:r>
      <w:r w:rsidR="002E507C" w:rsidRPr="008C6E5F">
        <w:rPr>
          <w:rFonts w:ascii="Arial" w:hAnsi="Arial" w:cs="Arial"/>
          <w:color w:val="000000"/>
          <w:sz w:val="22"/>
          <w:szCs w:val="22"/>
        </w:rPr>
        <w:t xml:space="preserve"> tygodni od daty dostawy), zgodne z metodyką oferowanych badań.</w:t>
      </w:r>
    </w:p>
    <w:p w:rsidR="00E92A44" w:rsidRPr="008C6E5F" w:rsidRDefault="002C763D" w:rsidP="000760EE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C6E5F">
        <w:rPr>
          <w:rFonts w:ascii="Arial" w:hAnsi="Arial" w:cs="Arial"/>
          <w:color w:val="000000"/>
          <w:sz w:val="22"/>
          <w:szCs w:val="22"/>
        </w:rPr>
        <w:t xml:space="preserve">Termin ważności mikrokart i odczynników minimum </w:t>
      </w:r>
      <w:r w:rsidR="00ED02D5" w:rsidRPr="008C6E5F">
        <w:rPr>
          <w:rFonts w:ascii="Arial" w:hAnsi="Arial" w:cs="Arial"/>
          <w:color w:val="000000"/>
          <w:sz w:val="22"/>
          <w:szCs w:val="22"/>
        </w:rPr>
        <w:t>9</w:t>
      </w:r>
      <w:r w:rsidRPr="008C6E5F">
        <w:rPr>
          <w:rFonts w:ascii="Arial" w:hAnsi="Arial" w:cs="Arial"/>
          <w:color w:val="000000"/>
          <w:sz w:val="22"/>
          <w:szCs w:val="22"/>
        </w:rPr>
        <w:t xml:space="preserve"> miesięcy od daty dostawy. Wielkość zaoferowanych opakowań mikrokart i odczynników musi by</w:t>
      </w:r>
      <w:r w:rsidR="00E92A44" w:rsidRPr="008C6E5F">
        <w:rPr>
          <w:rFonts w:ascii="Arial" w:hAnsi="Arial" w:cs="Arial"/>
          <w:color w:val="000000"/>
          <w:sz w:val="22"/>
          <w:szCs w:val="22"/>
        </w:rPr>
        <w:t>ć adekwatny do potrzeb Z</w:t>
      </w:r>
      <w:r w:rsidRPr="008C6E5F">
        <w:rPr>
          <w:rFonts w:ascii="Arial" w:hAnsi="Arial" w:cs="Arial"/>
          <w:color w:val="000000"/>
          <w:sz w:val="22"/>
          <w:szCs w:val="22"/>
        </w:rPr>
        <w:t>amawiającego gwarantując</w:t>
      </w:r>
      <w:r w:rsidR="00E92A44" w:rsidRPr="008C6E5F">
        <w:rPr>
          <w:rFonts w:ascii="Arial" w:hAnsi="Arial" w:cs="Arial"/>
          <w:color w:val="000000"/>
          <w:sz w:val="22"/>
          <w:szCs w:val="22"/>
        </w:rPr>
        <w:t>y</w:t>
      </w:r>
      <w:r w:rsidRPr="008C6E5F">
        <w:rPr>
          <w:rFonts w:ascii="Arial" w:hAnsi="Arial" w:cs="Arial"/>
          <w:color w:val="000000"/>
          <w:sz w:val="22"/>
          <w:szCs w:val="22"/>
        </w:rPr>
        <w:t xml:space="preserve"> wykorzystanie całego opakowania w </w:t>
      </w:r>
      <w:r w:rsidR="008015C8" w:rsidRPr="008C6E5F">
        <w:rPr>
          <w:rFonts w:ascii="Arial" w:hAnsi="Arial" w:cs="Arial"/>
          <w:color w:val="000000"/>
          <w:sz w:val="22"/>
          <w:szCs w:val="22"/>
        </w:rPr>
        <w:t xml:space="preserve">czasie przydatności do użycia (9 </w:t>
      </w:r>
      <w:proofErr w:type="spellStart"/>
      <w:r w:rsidRPr="008C6E5F">
        <w:rPr>
          <w:rFonts w:ascii="Arial" w:hAnsi="Arial" w:cs="Arial"/>
          <w:color w:val="000000"/>
          <w:sz w:val="22"/>
          <w:szCs w:val="22"/>
        </w:rPr>
        <w:t>m-cy</w:t>
      </w:r>
      <w:proofErr w:type="spellEnd"/>
      <w:r w:rsidRPr="008C6E5F">
        <w:rPr>
          <w:rFonts w:ascii="Arial" w:hAnsi="Arial" w:cs="Arial"/>
          <w:color w:val="000000"/>
          <w:sz w:val="22"/>
          <w:szCs w:val="22"/>
        </w:rPr>
        <w:t xml:space="preserve"> od daty dostawy) w przeciwnym razie Wykonawca gwarantuje wymianę przeterminowanego asortymentu na nowy w dacie ważności</w:t>
      </w:r>
      <w:r w:rsidR="00E92A44" w:rsidRPr="008C6E5F">
        <w:rPr>
          <w:rFonts w:ascii="Arial" w:hAnsi="Arial" w:cs="Arial"/>
          <w:color w:val="000000"/>
          <w:sz w:val="22"/>
          <w:szCs w:val="22"/>
        </w:rPr>
        <w:t>.</w:t>
      </w:r>
    </w:p>
    <w:p w:rsidR="00ED02D5" w:rsidRPr="008C6E5F" w:rsidRDefault="002C763D" w:rsidP="000760E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color w:val="000000"/>
          <w:sz w:val="22"/>
          <w:szCs w:val="22"/>
        </w:rPr>
        <w:t>Wszystkie mikrokarty, odczynniki muszą posiadać znak CE.</w:t>
      </w:r>
      <w:r w:rsidRPr="008C6E5F">
        <w:rPr>
          <w:rFonts w:ascii="Arial" w:hAnsi="Arial" w:cs="Arial"/>
          <w:sz w:val="22"/>
          <w:szCs w:val="22"/>
        </w:rPr>
        <w:t xml:space="preserve"> </w:t>
      </w:r>
    </w:p>
    <w:p w:rsidR="00ED02D5" w:rsidRPr="008C6E5F" w:rsidRDefault="00ED02D5" w:rsidP="000760E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sz w:val="22"/>
          <w:szCs w:val="22"/>
        </w:rPr>
        <w:t>Wszystkie odczynniki oraz krwinki powinny spełniać wymagania zgodnie z Rozporządzeniem Ministra Zdrowia z dnia 12 stycznia 2011r w sprawie wymagań zasadniczych oraz procedur oceny zgodności wyrobów medycznych do diagnostyki in vitro.</w:t>
      </w:r>
    </w:p>
    <w:p w:rsidR="005D2C8E" w:rsidRPr="008C6E5F" w:rsidRDefault="005D2C8E" w:rsidP="000760E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Czas reklamacji nie może przekroczyć </w:t>
      </w:r>
      <w:r w:rsidR="00403C7D" w:rsidRPr="008C6E5F">
        <w:rPr>
          <w:rFonts w:ascii="Arial" w:hAnsi="Arial" w:cs="Arial"/>
          <w:color w:val="000000"/>
          <w:sz w:val="22"/>
          <w:szCs w:val="22"/>
          <w:shd w:val="clear" w:color="auto" w:fill="FFFFFF"/>
        </w:rPr>
        <w:t>72</w:t>
      </w:r>
      <w:r w:rsidRPr="008C6E5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godz. od daty zgłoszenia reklamacji (zgłoszenie dokonane w formie telefonicznej, e-mail, fax), do momentu jej rozpatrzenia. Wymiana przed upływem kolejnych 48 godzin. Po tym czasie, gdy nadal nie otrzymano pełnowartościowego asortymentu lub w sytuacji, gdy powtórnie, w ramach wymiany otrzymano uszkodzony, niepełnowartościowy asortyment, w efekcie powodując zatrzymanie ciągłości pracy laboratorium, Zamawiający ma prawo zlecić wykonanie badania (oznaczenie grupy krwi, badanie przeglądowe przeciwciał, BTA, próba zgodności) do </w:t>
      </w:r>
      <w:proofErr w:type="spellStart"/>
      <w:r w:rsidRPr="008C6E5F">
        <w:rPr>
          <w:rFonts w:ascii="Arial" w:hAnsi="Arial" w:cs="Arial"/>
          <w:color w:val="000000"/>
          <w:sz w:val="22"/>
          <w:szCs w:val="22"/>
          <w:shd w:val="clear" w:color="auto" w:fill="FFFFFF"/>
        </w:rPr>
        <w:t>RCKiK</w:t>
      </w:r>
      <w:proofErr w:type="spellEnd"/>
      <w:r w:rsidRPr="008C6E5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Wykonawca pokrywa koszt wykonania badania według cennika </w:t>
      </w:r>
      <w:proofErr w:type="spellStart"/>
      <w:r w:rsidRPr="008C6E5F">
        <w:rPr>
          <w:rFonts w:ascii="Arial" w:hAnsi="Arial" w:cs="Arial"/>
          <w:color w:val="000000"/>
          <w:sz w:val="22"/>
          <w:szCs w:val="22"/>
          <w:shd w:val="clear" w:color="auto" w:fill="FFFFFF"/>
        </w:rPr>
        <w:t>RCKiK</w:t>
      </w:r>
      <w:proofErr w:type="spellEnd"/>
      <w:r w:rsidRPr="008C6E5F">
        <w:rPr>
          <w:rFonts w:ascii="Arial" w:hAnsi="Arial" w:cs="Arial"/>
          <w:color w:val="000000"/>
          <w:sz w:val="22"/>
          <w:szCs w:val="22"/>
          <w:shd w:val="clear" w:color="auto" w:fill="FFFFFF"/>
        </w:rPr>
        <w:t>, łącznie z kosztem transportu związanym z dostarczeniem materiału do badań do Podwykonawcy oraz odbiorem wyników w wersji papierowej.</w:t>
      </w:r>
    </w:p>
    <w:p w:rsidR="005D2C8E" w:rsidRPr="008C6E5F" w:rsidRDefault="005D2C8E" w:rsidP="000760E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Wykonawca zobowiązuje się uzupełnić braki ilościowe – jeżeli takie zostaną stwierdzone przez Zamawiającego – w otrzymanym towarze w terminie do </w:t>
      </w:r>
      <w:r w:rsidR="00403C7D" w:rsidRPr="008C6E5F">
        <w:rPr>
          <w:rFonts w:ascii="Arial" w:hAnsi="Arial" w:cs="Arial"/>
          <w:color w:val="000000"/>
          <w:sz w:val="22"/>
          <w:szCs w:val="22"/>
          <w:shd w:val="clear" w:color="auto" w:fill="FFFFFF"/>
        </w:rPr>
        <w:t>72</w:t>
      </w:r>
      <w:r w:rsidRPr="008C6E5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godzin w dni robocze od momentu zgłoszenia telefonicznego, faxem, e-mail. Po upływie tego czasu, gdy nadal nie zostały uzupełnione braki ilościowe, Zamawiający ma prawo zlecić wykonanie badania (oznaczenie grupy krwi, badanie przeglądowe przeciwciał, BTA, próba zgodności) do </w:t>
      </w:r>
      <w:proofErr w:type="spellStart"/>
      <w:r w:rsidRPr="008C6E5F">
        <w:rPr>
          <w:rFonts w:ascii="Arial" w:hAnsi="Arial" w:cs="Arial"/>
          <w:color w:val="000000"/>
          <w:sz w:val="22"/>
          <w:szCs w:val="22"/>
          <w:shd w:val="clear" w:color="auto" w:fill="FFFFFF"/>
        </w:rPr>
        <w:t>RCKiK</w:t>
      </w:r>
      <w:proofErr w:type="spellEnd"/>
      <w:r w:rsidRPr="008C6E5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Wykonawca pokrywa koszt wykonania badania według cennika </w:t>
      </w:r>
      <w:proofErr w:type="spellStart"/>
      <w:r w:rsidRPr="008C6E5F">
        <w:rPr>
          <w:rFonts w:ascii="Arial" w:hAnsi="Arial" w:cs="Arial"/>
          <w:color w:val="000000"/>
          <w:sz w:val="22"/>
          <w:szCs w:val="22"/>
          <w:shd w:val="clear" w:color="auto" w:fill="FFFFFF"/>
        </w:rPr>
        <w:t>RCKiK</w:t>
      </w:r>
      <w:proofErr w:type="spellEnd"/>
      <w:r w:rsidRPr="008C6E5F">
        <w:rPr>
          <w:rFonts w:ascii="Arial" w:hAnsi="Arial" w:cs="Arial"/>
          <w:color w:val="000000"/>
          <w:sz w:val="22"/>
          <w:szCs w:val="22"/>
          <w:shd w:val="clear" w:color="auto" w:fill="FFFFFF"/>
        </w:rPr>
        <w:t>, łącznie z kosztem transportu związanym z dostarczeniem materiału do badań do Podwykonawcy oraz odbiorem wyników w wersji papierowej.</w:t>
      </w:r>
    </w:p>
    <w:p w:rsidR="00477800" w:rsidRPr="008C6E5F" w:rsidRDefault="00477800" w:rsidP="000760E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760EE" w:rsidRDefault="000760EE" w:rsidP="00ED02D5">
      <w:pPr>
        <w:rPr>
          <w:rFonts w:ascii="Arial" w:hAnsi="Arial" w:cs="Arial"/>
          <w:b/>
          <w:sz w:val="22"/>
          <w:szCs w:val="22"/>
        </w:rPr>
      </w:pPr>
    </w:p>
    <w:p w:rsidR="000760EE" w:rsidRDefault="000760EE" w:rsidP="00ED02D5">
      <w:pPr>
        <w:rPr>
          <w:rFonts w:ascii="Arial" w:hAnsi="Arial" w:cs="Arial"/>
          <w:b/>
          <w:sz w:val="22"/>
          <w:szCs w:val="22"/>
        </w:rPr>
      </w:pPr>
    </w:p>
    <w:p w:rsidR="000760EE" w:rsidRDefault="000760EE" w:rsidP="00ED02D5">
      <w:pPr>
        <w:rPr>
          <w:rFonts w:ascii="Arial" w:hAnsi="Arial" w:cs="Arial"/>
          <w:b/>
          <w:sz w:val="22"/>
          <w:szCs w:val="22"/>
        </w:rPr>
      </w:pPr>
    </w:p>
    <w:p w:rsidR="000760EE" w:rsidRDefault="000760EE" w:rsidP="00ED02D5">
      <w:pPr>
        <w:rPr>
          <w:rFonts w:ascii="Arial" w:hAnsi="Arial" w:cs="Arial"/>
          <w:b/>
          <w:sz w:val="22"/>
          <w:szCs w:val="22"/>
        </w:rPr>
      </w:pPr>
    </w:p>
    <w:p w:rsidR="00ED02D5" w:rsidRPr="008C6E5F" w:rsidRDefault="00ED02D5" w:rsidP="00ED02D5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8C6E5F">
        <w:rPr>
          <w:rFonts w:ascii="Arial" w:hAnsi="Arial" w:cs="Arial"/>
          <w:b/>
          <w:sz w:val="22"/>
          <w:szCs w:val="22"/>
        </w:rPr>
        <w:t>Warunki graniczne dla sprzętu laboratoryjnego:</w:t>
      </w:r>
    </w:p>
    <w:p w:rsidR="00ED02D5" w:rsidRPr="008C6E5F" w:rsidRDefault="00ED02D5" w:rsidP="005D2C8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92A44" w:rsidRPr="008C6E5F" w:rsidRDefault="00403C7D" w:rsidP="005D2C8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color w:val="000000"/>
          <w:sz w:val="22"/>
          <w:szCs w:val="22"/>
        </w:rPr>
        <w:t xml:space="preserve">Dotyczy punktów 1,2,3,5 </w:t>
      </w:r>
      <w:r w:rsidRPr="008C6E5F">
        <w:rPr>
          <w:rFonts w:ascii="Arial" w:hAnsi="Arial" w:cs="Arial"/>
          <w:b/>
          <w:color w:val="000000"/>
          <w:sz w:val="22"/>
          <w:szCs w:val="22"/>
        </w:rPr>
        <w:t xml:space="preserve">V </w:t>
      </w:r>
      <w:r w:rsidRPr="008C6E5F">
        <w:rPr>
          <w:rFonts w:ascii="Arial" w:hAnsi="Arial" w:cs="Arial"/>
          <w:b/>
          <w:sz w:val="22"/>
          <w:szCs w:val="22"/>
        </w:rPr>
        <w:t>Dzierżawa systemu</w:t>
      </w:r>
      <w:r w:rsidRPr="008C6E5F">
        <w:rPr>
          <w:rFonts w:ascii="Arial" w:hAnsi="Arial" w:cs="Arial"/>
          <w:sz w:val="22"/>
          <w:szCs w:val="22"/>
        </w:rPr>
        <w:t xml:space="preserve"> </w:t>
      </w:r>
      <w:r w:rsidRPr="008C6E5F">
        <w:rPr>
          <w:rFonts w:ascii="Arial" w:hAnsi="Arial" w:cs="Arial"/>
          <w:b/>
          <w:sz w:val="22"/>
          <w:szCs w:val="22"/>
        </w:rPr>
        <w:t>do oznaczeń mikrometodą kolumnowo-żelową w teście PTA-LISS na okres 36 miesięcy</w:t>
      </w:r>
      <w:r w:rsidRPr="008C6E5F">
        <w:rPr>
          <w:rFonts w:ascii="Arial" w:hAnsi="Arial" w:cs="Arial"/>
          <w:color w:val="000000"/>
          <w:sz w:val="22"/>
          <w:szCs w:val="22"/>
        </w:rPr>
        <w:t xml:space="preserve"> </w:t>
      </w:r>
      <w:r w:rsidR="00E92A44" w:rsidRPr="008C6E5F">
        <w:rPr>
          <w:rFonts w:ascii="Arial" w:hAnsi="Arial" w:cs="Arial"/>
          <w:color w:val="000000"/>
          <w:sz w:val="22"/>
          <w:szCs w:val="22"/>
        </w:rPr>
        <w:t xml:space="preserve">Zapewnienie w ramach opłaty dzierżawnej serwisu gwarancyjnego obejmującego cały okres trwania umowy. </w:t>
      </w:r>
      <w:r w:rsidR="00E92A44" w:rsidRPr="008C6E5F">
        <w:rPr>
          <w:rFonts w:ascii="Arial" w:hAnsi="Arial" w:cs="Arial"/>
          <w:sz w:val="22"/>
          <w:szCs w:val="22"/>
        </w:rPr>
        <w:t>Serwis oferenta ważny 7 dni w tygodniu, także w niedziele i święta.</w:t>
      </w:r>
      <w:r w:rsidR="00E92A44" w:rsidRPr="008C6E5F">
        <w:rPr>
          <w:rFonts w:ascii="Arial" w:hAnsi="Arial" w:cs="Arial"/>
          <w:color w:val="000000"/>
          <w:sz w:val="22"/>
          <w:szCs w:val="22"/>
        </w:rPr>
        <w:t xml:space="preserve"> Zapewnienie przeglądów technicznych sprzętu, wykonywanie walidacji zgodnie </w:t>
      </w:r>
      <w:r w:rsidR="00477800" w:rsidRPr="008C6E5F">
        <w:rPr>
          <w:rFonts w:ascii="Arial" w:hAnsi="Arial" w:cs="Arial"/>
          <w:color w:val="000000"/>
          <w:sz w:val="22"/>
          <w:szCs w:val="22"/>
        </w:rPr>
        <w:t>z zaleceniami producenta</w:t>
      </w:r>
      <w:r w:rsidR="00E92A44" w:rsidRPr="008C6E5F">
        <w:rPr>
          <w:rFonts w:ascii="Arial" w:hAnsi="Arial" w:cs="Arial"/>
          <w:color w:val="000000"/>
          <w:sz w:val="22"/>
          <w:szCs w:val="22"/>
        </w:rPr>
        <w:t xml:space="preserve"> </w:t>
      </w:r>
      <w:r w:rsidR="00477800" w:rsidRPr="008C6E5F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ED02D5" w:rsidRPr="008C6E5F">
        <w:rPr>
          <w:rFonts w:ascii="Arial" w:hAnsi="Arial" w:cs="Arial"/>
          <w:color w:val="000000"/>
          <w:sz w:val="22"/>
          <w:szCs w:val="22"/>
        </w:rPr>
        <w:t xml:space="preserve">                              </w:t>
      </w:r>
      <w:r w:rsidR="00477800" w:rsidRPr="008C6E5F">
        <w:rPr>
          <w:rFonts w:ascii="Arial" w:hAnsi="Arial" w:cs="Arial"/>
          <w:color w:val="000000"/>
          <w:sz w:val="22"/>
          <w:szCs w:val="22"/>
        </w:rPr>
        <w:t>(</w:t>
      </w:r>
      <w:r w:rsidR="00E92A44" w:rsidRPr="008C6E5F">
        <w:rPr>
          <w:rFonts w:ascii="Arial" w:hAnsi="Arial" w:cs="Arial"/>
          <w:color w:val="000000"/>
          <w:sz w:val="22"/>
          <w:szCs w:val="22"/>
        </w:rPr>
        <w:t xml:space="preserve">minimum jeden raz w roku oraz po każdej awarii). W czasie trwania umowy dzierżawy sprzętu, koszty wszelkich napraw, w tym dojazd serwisu, robocizna zawiera opłata dzierżawna. </w:t>
      </w:r>
    </w:p>
    <w:p w:rsidR="00E92A44" w:rsidRPr="008C6E5F" w:rsidRDefault="00E92A44" w:rsidP="005D2C8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color w:val="000000"/>
          <w:sz w:val="22"/>
          <w:szCs w:val="22"/>
        </w:rPr>
        <w:t xml:space="preserve">W przypadku awarii sprzętu maksymalny czas oczekiwania na dojazd serwisu i dokonanie naprawy może wynosić </w:t>
      </w:r>
      <w:r w:rsidR="00911F8D" w:rsidRPr="008C6E5F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8C6E5F">
        <w:rPr>
          <w:rFonts w:ascii="Arial" w:hAnsi="Arial" w:cs="Arial"/>
          <w:color w:val="000000"/>
          <w:sz w:val="22"/>
          <w:szCs w:val="22"/>
        </w:rPr>
        <w:t>24 godziny</w:t>
      </w:r>
      <w:r w:rsidRPr="008C6E5F">
        <w:rPr>
          <w:rFonts w:ascii="Arial" w:hAnsi="Arial" w:cs="Arial"/>
          <w:sz w:val="22"/>
          <w:szCs w:val="22"/>
        </w:rPr>
        <w:t xml:space="preserve"> od momentu zgłoszenia telefonicznego lub pisemnego za pomocą faksu lub e-mail.</w:t>
      </w:r>
      <w:r w:rsidRPr="008C6E5F">
        <w:rPr>
          <w:rFonts w:ascii="Arial" w:hAnsi="Arial" w:cs="Arial"/>
          <w:color w:val="000000"/>
          <w:sz w:val="22"/>
          <w:szCs w:val="22"/>
        </w:rPr>
        <w:t xml:space="preserve"> W przypadku braku możliwości usunięcia usterki w podanym czasie Wykonawca </w:t>
      </w:r>
      <w:r w:rsidR="00911F8D" w:rsidRPr="008C6E5F">
        <w:rPr>
          <w:rFonts w:ascii="Arial" w:hAnsi="Arial" w:cs="Arial"/>
          <w:color w:val="000000"/>
          <w:sz w:val="22"/>
          <w:szCs w:val="22"/>
        </w:rPr>
        <w:t xml:space="preserve">zapewni </w:t>
      </w:r>
      <w:r w:rsidRPr="008C6E5F">
        <w:rPr>
          <w:rFonts w:ascii="Arial" w:hAnsi="Arial" w:cs="Arial"/>
          <w:color w:val="000000"/>
          <w:sz w:val="22"/>
          <w:szCs w:val="22"/>
        </w:rPr>
        <w:t xml:space="preserve">takie samo urządzenie zastępcze, aż do czasu usunięcia usterki. </w:t>
      </w:r>
      <w:r w:rsidR="00911F8D" w:rsidRPr="008C6E5F">
        <w:rPr>
          <w:rFonts w:ascii="Arial" w:hAnsi="Arial" w:cs="Arial"/>
          <w:bCs/>
          <w:color w:val="000000"/>
          <w:sz w:val="22"/>
          <w:szCs w:val="22"/>
        </w:rPr>
        <w:t>Wykonawca wskaże imiennie osobę/y do stałych kontaktów w zakresie obsługi serwisowej.</w:t>
      </w:r>
    </w:p>
    <w:p w:rsidR="00911F8D" w:rsidRPr="008C6E5F" w:rsidRDefault="00E92A44" w:rsidP="005D2C8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color w:val="000000"/>
          <w:sz w:val="22"/>
          <w:szCs w:val="22"/>
        </w:rPr>
        <w:t>Dostarczenie wraz ze sprzętem paszportów technicznych.</w:t>
      </w:r>
      <w:r w:rsidR="00911F8D" w:rsidRPr="008C6E5F">
        <w:rPr>
          <w:rFonts w:ascii="Arial" w:hAnsi="Arial" w:cs="Arial"/>
          <w:sz w:val="22"/>
          <w:szCs w:val="22"/>
        </w:rPr>
        <w:t xml:space="preserve"> </w:t>
      </w:r>
    </w:p>
    <w:p w:rsidR="00AF7489" w:rsidRPr="008C6E5F" w:rsidRDefault="00AF7489" w:rsidP="005D2C8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sz w:val="22"/>
          <w:szCs w:val="22"/>
        </w:rPr>
        <w:t>Ilość szkoleń dla personelu wg potrzeb zgłaszanych przez Zamawiającego. Szkolenie potwierdzone imiennym certyfikatem dla każdego pracownika.</w:t>
      </w:r>
    </w:p>
    <w:p w:rsidR="00020387" w:rsidRPr="008C6E5F" w:rsidRDefault="00AF7489" w:rsidP="0002038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sz w:val="22"/>
          <w:szCs w:val="22"/>
        </w:rPr>
        <w:t>Dostarczenie i instalacja sprzętu, oraz szkolenie personelu laboratorium maksymalnie w ciągu 14 dni od momentu podpisania umowy.</w:t>
      </w:r>
    </w:p>
    <w:p w:rsidR="00020387" w:rsidRPr="008C6E5F" w:rsidRDefault="00020387" w:rsidP="0002038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sz w:val="22"/>
          <w:szCs w:val="22"/>
        </w:rPr>
        <w:t>Dostarczenie chłodziarko-zamrażarki do przechowywania odczynników oraz łaźni wodnej ro rozmrażania osocza.</w:t>
      </w:r>
    </w:p>
    <w:p w:rsidR="00020387" w:rsidRPr="008C6E5F" w:rsidRDefault="00020387" w:rsidP="0002038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C6E5F">
        <w:rPr>
          <w:rFonts w:ascii="Arial" w:hAnsi="Arial" w:cs="Arial"/>
          <w:sz w:val="22"/>
          <w:szCs w:val="22"/>
          <w:u w:val="single"/>
        </w:rPr>
        <w:t>Parametry chłodziarko-zamrażarki:</w:t>
      </w:r>
    </w:p>
    <w:p w:rsidR="006112E0" w:rsidRPr="008C6E5F" w:rsidRDefault="006112E0" w:rsidP="0002038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sz w:val="22"/>
          <w:szCs w:val="22"/>
        </w:rPr>
        <w:t xml:space="preserve">- </w:t>
      </w:r>
      <w:r w:rsidRPr="008C6E5F">
        <w:rPr>
          <w:rFonts w:ascii="Arial" w:hAnsi="Arial" w:cs="Arial"/>
          <w:bCs/>
          <w:sz w:val="22"/>
          <w:szCs w:val="22"/>
        </w:rPr>
        <w:t>Zakres temperatur:</w:t>
      </w:r>
      <w:r w:rsidR="00020387" w:rsidRPr="008C6E5F">
        <w:rPr>
          <w:rFonts w:ascii="Arial" w:hAnsi="Arial" w:cs="Arial"/>
          <w:bCs/>
          <w:sz w:val="22"/>
          <w:szCs w:val="22"/>
        </w:rPr>
        <w:t xml:space="preserve"> </w:t>
      </w:r>
      <w:r w:rsidRPr="008C6E5F">
        <w:rPr>
          <w:rFonts w:ascii="Arial" w:hAnsi="Arial" w:cs="Arial"/>
          <w:sz w:val="22"/>
          <w:szCs w:val="22"/>
        </w:rPr>
        <w:t>+</w:t>
      </w:r>
      <w:r w:rsidR="00020387" w:rsidRPr="008C6E5F">
        <w:rPr>
          <w:rFonts w:ascii="Arial" w:hAnsi="Arial" w:cs="Arial"/>
          <w:sz w:val="22"/>
          <w:szCs w:val="22"/>
        </w:rPr>
        <w:t xml:space="preserve">3°C do </w:t>
      </w:r>
      <w:r w:rsidRPr="008C6E5F">
        <w:rPr>
          <w:rFonts w:ascii="Arial" w:hAnsi="Arial" w:cs="Arial"/>
          <w:sz w:val="22"/>
          <w:szCs w:val="22"/>
        </w:rPr>
        <w:t xml:space="preserve"> +16°C</w:t>
      </w:r>
      <w:r w:rsidR="00020387" w:rsidRPr="008C6E5F">
        <w:rPr>
          <w:rFonts w:ascii="Arial" w:hAnsi="Arial" w:cs="Arial"/>
          <w:sz w:val="22"/>
          <w:szCs w:val="22"/>
        </w:rPr>
        <w:t xml:space="preserve"> </w:t>
      </w:r>
      <w:r w:rsidRPr="008C6E5F">
        <w:rPr>
          <w:rFonts w:ascii="Arial" w:hAnsi="Arial" w:cs="Arial"/>
          <w:sz w:val="22"/>
          <w:szCs w:val="22"/>
        </w:rPr>
        <w:t>(chłodziarka)</w:t>
      </w:r>
      <w:r w:rsidR="00020387" w:rsidRPr="008C6E5F">
        <w:rPr>
          <w:rFonts w:ascii="Arial" w:hAnsi="Arial" w:cs="Arial"/>
          <w:sz w:val="22"/>
          <w:szCs w:val="22"/>
        </w:rPr>
        <w:t>; &lt;26° C (zamrażarka),</w:t>
      </w:r>
    </w:p>
    <w:p w:rsidR="006112E0" w:rsidRPr="008C6E5F" w:rsidRDefault="006112E0" w:rsidP="0002038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sz w:val="22"/>
          <w:szCs w:val="22"/>
        </w:rPr>
        <w:t xml:space="preserve">- pojemność całkowita: chłodziarka </w:t>
      </w:r>
      <w:r w:rsidR="00020387" w:rsidRPr="008C6E5F">
        <w:rPr>
          <w:rFonts w:ascii="Arial" w:hAnsi="Arial" w:cs="Arial"/>
          <w:sz w:val="22"/>
          <w:szCs w:val="22"/>
        </w:rPr>
        <w:t>&gt;</w:t>
      </w:r>
      <w:r w:rsidRPr="008C6E5F">
        <w:rPr>
          <w:rFonts w:ascii="Arial" w:hAnsi="Arial" w:cs="Arial"/>
          <w:sz w:val="22"/>
          <w:szCs w:val="22"/>
        </w:rPr>
        <w:t>25</w:t>
      </w:r>
      <w:r w:rsidR="00020387" w:rsidRPr="008C6E5F">
        <w:rPr>
          <w:rFonts w:ascii="Arial" w:hAnsi="Arial" w:cs="Arial"/>
          <w:sz w:val="22"/>
          <w:szCs w:val="22"/>
        </w:rPr>
        <w:t xml:space="preserve">0 litra ; </w:t>
      </w:r>
      <w:r w:rsidRPr="008C6E5F">
        <w:rPr>
          <w:rFonts w:ascii="Arial" w:hAnsi="Arial" w:cs="Arial"/>
          <w:sz w:val="22"/>
          <w:szCs w:val="22"/>
        </w:rPr>
        <w:t xml:space="preserve">zamrażarka </w:t>
      </w:r>
      <w:r w:rsidR="00020387" w:rsidRPr="008C6E5F">
        <w:rPr>
          <w:rFonts w:ascii="Arial" w:hAnsi="Arial" w:cs="Arial"/>
          <w:sz w:val="22"/>
          <w:szCs w:val="22"/>
        </w:rPr>
        <w:t>&gt; 107 litra,</w:t>
      </w:r>
    </w:p>
    <w:p w:rsidR="006112E0" w:rsidRPr="008C6E5F" w:rsidRDefault="006112E0" w:rsidP="0002038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8C6E5F">
        <w:rPr>
          <w:rFonts w:ascii="Arial" w:hAnsi="Arial" w:cs="Arial"/>
          <w:sz w:val="22"/>
          <w:szCs w:val="22"/>
        </w:rPr>
        <w:t>odszran</w:t>
      </w:r>
      <w:r w:rsidR="00020387" w:rsidRPr="008C6E5F">
        <w:rPr>
          <w:rFonts w:ascii="Arial" w:hAnsi="Arial" w:cs="Arial"/>
          <w:sz w:val="22"/>
          <w:szCs w:val="22"/>
        </w:rPr>
        <w:t>ianie</w:t>
      </w:r>
      <w:proofErr w:type="spellEnd"/>
      <w:r w:rsidR="00020387" w:rsidRPr="008C6E5F">
        <w:rPr>
          <w:rFonts w:ascii="Arial" w:hAnsi="Arial" w:cs="Arial"/>
          <w:sz w:val="22"/>
          <w:szCs w:val="22"/>
        </w:rPr>
        <w:t xml:space="preserve"> chłodziarki: automatyczne,</w:t>
      </w:r>
    </w:p>
    <w:p w:rsidR="006112E0" w:rsidRPr="008C6E5F" w:rsidRDefault="006112E0" w:rsidP="0002038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8C6E5F">
        <w:rPr>
          <w:rFonts w:ascii="Arial" w:hAnsi="Arial" w:cs="Arial"/>
          <w:sz w:val="22"/>
          <w:szCs w:val="22"/>
        </w:rPr>
        <w:t>odszranianie</w:t>
      </w:r>
      <w:proofErr w:type="spellEnd"/>
      <w:r w:rsidRPr="008C6E5F">
        <w:rPr>
          <w:rFonts w:ascii="Arial" w:hAnsi="Arial" w:cs="Arial"/>
          <w:sz w:val="22"/>
          <w:szCs w:val="22"/>
        </w:rPr>
        <w:t xml:space="preserve"> zamrażarki: </w:t>
      </w:r>
      <w:r w:rsidR="00020387" w:rsidRPr="008C6E5F">
        <w:rPr>
          <w:rFonts w:ascii="Arial" w:hAnsi="Arial" w:cs="Arial"/>
          <w:sz w:val="22"/>
          <w:szCs w:val="22"/>
        </w:rPr>
        <w:t xml:space="preserve">automatyczne lub </w:t>
      </w:r>
      <w:r w:rsidRPr="008C6E5F">
        <w:rPr>
          <w:rFonts w:ascii="Arial" w:hAnsi="Arial" w:cs="Arial"/>
          <w:sz w:val="22"/>
          <w:szCs w:val="22"/>
        </w:rPr>
        <w:t>manualne</w:t>
      </w:r>
      <w:r w:rsidR="00020387" w:rsidRPr="008C6E5F">
        <w:rPr>
          <w:rFonts w:ascii="Arial" w:hAnsi="Arial" w:cs="Arial"/>
          <w:sz w:val="22"/>
          <w:szCs w:val="22"/>
        </w:rPr>
        <w:t>,</w:t>
      </w:r>
      <w:r w:rsidRPr="008C6E5F">
        <w:rPr>
          <w:rFonts w:ascii="Arial" w:hAnsi="Arial" w:cs="Arial"/>
          <w:sz w:val="22"/>
          <w:szCs w:val="22"/>
        </w:rPr>
        <w:t xml:space="preserve"> </w:t>
      </w:r>
    </w:p>
    <w:p w:rsidR="006112E0" w:rsidRPr="008C6E5F" w:rsidRDefault="006112E0" w:rsidP="0002038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sz w:val="22"/>
          <w:szCs w:val="22"/>
        </w:rPr>
        <w:t>- sterowanie elektroniczne: oddzielne dla chłodziarki i zamrażarki</w:t>
      </w:r>
      <w:r w:rsidR="00020387" w:rsidRPr="008C6E5F">
        <w:rPr>
          <w:rFonts w:ascii="Arial" w:hAnsi="Arial" w:cs="Arial"/>
          <w:sz w:val="22"/>
          <w:szCs w:val="22"/>
        </w:rPr>
        <w:t>,</w:t>
      </w:r>
      <w:r w:rsidRPr="008C6E5F">
        <w:rPr>
          <w:rFonts w:ascii="Arial" w:hAnsi="Arial" w:cs="Arial"/>
          <w:sz w:val="22"/>
          <w:szCs w:val="22"/>
        </w:rPr>
        <w:t xml:space="preserve"> </w:t>
      </w:r>
    </w:p>
    <w:p w:rsidR="006112E0" w:rsidRPr="008C6E5F" w:rsidRDefault="006112E0" w:rsidP="0002038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sz w:val="22"/>
          <w:szCs w:val="22"/>
        </w:rPr>
        <w:t>- 2 panele sterowania z zewnętrznymi cyfrowymi wskaźnikami temperatury</w:t>
      </w:r>
      <w:r w:rsidR="00020387" w:rsidRPr="008C6E5F">
        <w:rPr>
          <w:rFonts w:ascii="Arial" w:hAnsi="Arial" w:cs="Arial"/>
          <w:sz w:val="22"/>
          <w:szCs w:val="22"/>
        </w:rPr>
        <w:t>,</w:t>
      </w:r>
      <w:r w:rsidRPr="008C6E5F">
        <w:rPr>
          <w:rFonts w:ascii="Arial" w:hAnsi="Arial" w:cs="Arial"/>
          <w:sz w:val="22"/>
          <w:szCs w:val="22"/>
        </w:rPr>
        <w:t xml:space="preserve"> </w:t>
      </w:r>
    </w:p>
    <w:p w:rsidR="006112E0" w:rsidRPr="008C6E5F" w:rsidRDefault="006112E0" w:rsidP="0002038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sz w:val="22"/>
          <w:szCs w:val="22"/>
        </w:rPr>
        <w:t xml:space="preserve">- drzwi pełne z </w:t>
      </w:r>
      <w:proofErr w:type="spellStart"/>
      <w:r w:rsidRPr="008C6E5F">
        <w:rPr>
          <w:rFonts w:ascii="Arial" w:hAnsi="Arial" w:cs="Arial"/>
          <w:sz w:val="22"/>
          <w:szCs w:val="22"/>
        </w:rPr>
        <w:t>samodomykaczem</w:t>
      </w:r>
      <w:proofErr w:type="spellEnd"/>
      <w:r w:rsidR="00020387" w:rsidRPr="008C6E5F">
        <w:rPr>
          <w:rFonts w:ascii="Arial" w:hAnsi="Arial" w:cs="Arial"/>
          <w:sz w:val="22"/>
          <w:szCs w:val="22"/>
        </w:rPr>
        <w:t>,</w:t>
      </w:r>
      <w:r w:rsidRPr="008C6E5F">
        <w:rPr>
          <w:rFonts w:ascii="Arial" w:hAnsi="Arial" w:cs="Arial"/>
          <w:sz w:val="22"/>
          <w:szCs w:val="22"/>
        </w:rPr>
        <w:t xml:space="preserve">  </w:t>
      </w:r>
    </w:p>
    <w:p w:rsidR="006112E0" w:rsidRPr="008C6E5F" w:rsidRDefault="006112E0" w:rsidP="0002038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sz w:val="22"/>
          <w:szCs w:val="22"/>
        </w:rPr>
        <w:t>- alarm dźwiękowy i optyczny otwartych drzwi oraz przekroczonej temperatury</w:t>
      </w:r>
      <w:r w:rsidR="00020387" w:rsidRPr="008C6E5F">
        <w:rPr>
          <w:rFonts w:ascii="Arial" w:hAnsi="Arial" w:cs="Arial"/>
          <w:sz w:val="22"/>
          <w:szCs w:val="22"/>
        </w:rPr>
        <w:t>,</w:t>
      </w:r>
      <w:r w:rsidRPr="008C6E5F">
        <w:rPr>
          <w:rFonts w:ascii="Arial" w:hAnsi="Arial" w:cs="Arial"/>
          <w:sz w:val="22"/>
          <w:szCs w:val="22"/>
        </w:rPr>
        <w:t xml:space="preserve"> </w:t>
      </w:r>
    </w:p>
    <w:p w:rsidR="006112E0" w:rsidRPr="008C6E5F" w:rsidRDefault="006112E0" w:rsidP="0002038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sz w:val="22"/>
          <w:szCs w:val="22"/>
        </w:rPr>
        <w:t xml:space="preserve">- </w:t>
      </w:r>
      <w:r w:rsidR="00020387" w:rsidRPr="008C6E5F">
        <w:rPr>
          <w:rFonts w:ascii="Arial" w:hAnsi="Arial" w:cs="Arial"/>
          <w:sz w:val="22"/>
          <w:szCs w:val="22"/>
        </w:rPr>
        <w:t>2 kompresory oraz 2 obiegi chłodnicze,</w:t>
      </w:r>
    </w:p>
    <w:p w:rsidR="006112E0" w:rsidRPr="008C6E5F" w:rsidRDefault="006112E0" w:rsidP="00020387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sz w:val="22"/>
          <w:szCs w:val="22"/>
        </w:rPr>
        <w:t xml:space="preserve">- alarm braku zasilania (po przywróceniu zasilania) </w:t>
      </w:r>
    </w:p>
    <w:p w:rsidR="006112E0" w:rsidRPr="008C6E5F" w:rsidRDefault="00020387" w:rsidP="0002038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C6E5F">
        <w:rPr>
          <w:rFonts w:ascii="Arial" w:hAnsi="Arial" w:cs="Arial"/>
          <w:sz w:val="22"/>
          <w:szCs w:val="22"/>
          <w:u w:val="single"/>
        </w:rPr>
        <w:t>Parametry łaźni wodnej do rozmrażania osocza:</w:t>
      </w:r>
    </w:p>
    <w:p w:rsidR="006112E0" w:rsidRPr="008C6E5F" w:rsidRDefault="00DA6FCC" w:rsidP="000203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sz w:val="22"/>
          <w:szCs w:val="22"/>
        </w:rPr>
        <w:t>- łaźnia wodna wyposażona w koszyk na 2 osocza</w:t>
      </w:r>
      <w:r w:rsidR="00020387" w:rsidRPr="008C6E5F">
        <w:rPr>
          <w:rFonts w:ascii="Arial" w:hAnsi="Arial" w:cs="Arial"/>
          <w:sz w:val="22"/>
          <w:szCs w:val="22"/>
        </w:rPr>
        <w:t>,</w:t>
      </w:r>
    </w:p>
    <w:p w:rsidR="00DA6FCC" w:rsidRPr="008C6E5F" w:rsidRDefault="00DA6FCC" w:rsidP="000203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sz w:val="22"/>
          <w:szCs w:val="22"/>
        </w:rPr>
        <w:t>- zakres temperatur od +5°C / +100°C</w:t>
      </w:r>
      <w:r w:rsidR="00020387" w:rsidRPr="008C6E5F">
        <w:rPr>
          <w:rFonts w:ascii="Arial" w:hAnsi="Arial" w:cs="Arial"/>
          <w:sz w:val="22"/>
          <w:szCs w:val="22"/>
        </w:rPr>
        <w:t>,</w:t>
      </w:r>
    </w:p>
    <w:p w:rsidR="006112E0" w:rsidRPr="008C6E5F" w:rsidRDefault="00DA6FCC" w:rsidP="000203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sz w:val="22"/>
          <w:szCs w:val="22"/>
        </w:rPr>
        <w:t>- wyświetlacz z temperaturą</w:t>
      </w:r>
      <w:r w:rsidR="00020387" w:rsidRPr="008C6E5F">
        <w:rPr>
          <w:rFonts w:ascii="Arial" w:hAnsi="Arial" w:cs="Arial"/>
          <w:sz w:val="22"/>
          <w:szCs w:val="22"/>
        </w:rPr>
        <w:t>,</w:t>
      </w:r>
    </w:p>
    <w:p w:rsidR="00DA6FCC" w:rsidRPr="008C6E5F" w:rsidRDefault="00DA6FCC" w:rsidP="000203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sz w:val="22"/>
          <w:szCs w:val="22"/>
        </w:rPr>
        <w:t xml:space="preserve">- </w:t>
      </w:r>
      <w:r w:rsidR="00020387" w:rsidRPr="008C6E5F">
        <w:rPr>
          <w:rFonts w:ascii="Arial" w:hAnsi="Arial" w:cs="Arial"/>
          <w:sz w:val="22"/>
          <w:szCs w:val="22"/>
        </w:rPr>
        <w:t xml:space="preserve">łaźnia wyposażona w </w:t>
      </w:r>
      <w:r w:rsidRPr="008C6E5F">
        <w:rPr>
          <w:rFonts w:ascii="Arial" w:hAnsi="Arial" w:cs="Arial"/>
          <w:sz w:val="22"/>
          <w:szCs w:val="22"/>
        </w:rPr>
        <w:t>termometr wbudowany</w:t>
      </w:r>
      <w:r w:rsidR="00020387" w:rsidRPr="008C6E5F">
        <w:rPr>
          <w:rFonts w:ascii="Arial" w:hAnsi="Arial" w:cs="Arial"/>
          <w:sz w:val="22"/>
          <w:szCs w:val="22"/>
        </w:rPr>
        <w:t>,</w:t>
      </w:r>
    </w:p>
    <w:p w:rsidR="00DA6FCC" w:rsidRPr="008C6E5F" w:rsidRDefault="00DA6FCC" w:rsidP="000203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sz w:val="22"/>
          <w:szCs w:val="22"/>
        </w:rPr>
        <w:t>- alarm przekroczenia temperatury</w:t>
      </w:r>
      <w:r w:rsidR="00020387" w:rsidRPr="008C6E5F">
        <w:rPr>
          <w:rFonts w:ascii="Arial" w:hAnsi="Arial" w:cs="Arial"/>
          <w:sz w:val="22"/>
          <w:szCs w:val="22"/>
        </w:rPr>
        <w:t>,</w:t>
      </w:r>
    </w:p>
    <w:p w:rsidR="00DA6FCC" w:rsidRPr="008C6E5F" w:rsidRDefault="00DA6FCC" w:rsidP="000203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6E5F">
        <w:rPr>
          <w:rFonts w:ascii="Arial" w:hAnsi="Arial" w:cs="Arial"/>
          <w:sz w:val="22"/>
          <w:szCs w:val="22"/>
        </w:rPr>
        <w:t xml:space="preserve">- utrzymanie temperatury z dokładnością do 0,1 stopnia w całej objętości </w:t>
      </w:r>
      <w:r w:rsidR="00020387" w:rsidRPr="008C6E5F">
        <w:rPr>
          <w:rFonts w:ascii="Arial" w:hAnsi="Arial" w:cs="Arial"/>
          <w:sz w:val="22"/>
          <w:szCs w:val="22"/>
        </w:rPr>
        <w:t xml:space="preserve">wanny poprzez </w:t>
      </w:r>
      <w:r w:rsidRPr="008C6E5F">
        <w:rPr>
          <w:rFonts w:ascii="Arial" w:hAnsi="Arial" w:cs="Arial"/>
          <w:sz w:val="22"/>
          <w:szCs w:val="22"/>
        </w:rPr>
        <w:t>intensywne mieszanie wody</w:t>
      </w:r>
      <w:r w:rsidR="00020387" w:rsidRPr="008C6E5F">
        <w:rPr>
          <w:rFonts w:ascii="Arial" w:hAnsi="Arial" w:cs="Arial"/>
          <w:sz w:val="22"/>
          <w:szCs w:val="22"/>
        </w:rPr>
        <w:t xml:space="preserve"> (wbudowane mieszadło)</w:t>
      </w:r>
    </w:p>
    <w:p w:rsidR="006112E0" w:rsidRPr="008C6E5F" w:rsidRDefault="006112E0" w:rsidP="00020387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14831" w:type="dxa"/>
        <w:tblCellSpacing w:w="0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831"/>
      </w:tblGrid>
      <w:tr w:rsidR="002C763D" w:rsidRPr="008C6E5F" w:rsidTr="002C763D">
        <w:trPr>
          <w:trHeight w:val="446"/>
          <w:tblCellSpacing w:w="0" w:type="dxa"/>
        </w:trPr>
        <w:tc>
          <w:tcPr>
            <w:tcW w:w="14831" w:type="dxa"/>
            <w:vAlign w:val="center"/>
          </w:tcPr>
          <w:p w:rsidR="000760EE" w:rsidRDefault="000760EE" w:rsidP="005D2C8E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</w:t>
            </w:r>
          </w:p>
          <w:p w:rsidR="000760EE" w:rsidRDefault="000760EE" w:rsidP="005D2C8E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760EE" w:rsidRDefault="000760EE" w:rsidP="005D2C8E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760EE" w:rsidRDefault="000760EE" w:rsidP="005D2C8E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C763D" w:rsidRPr="008C6E5F" w:rsidRDefault="002C763D" w:rsidP="000760EE">
            <w:pPr>
              <w:ind w:left="55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Warunki dodatkowe:</w:t>
            </w:r>
          </w:p>
        </w:tc>
      </w:tr>
      <w:tr w:rsidR="002C763D" w:rsidRPr="008C6E5F" w:rsidTr="002C763D">
        <w:trPr>
          <w:trHeight w:val="319"/>
          <w:tblCellSpacing w:w="0" w:type="dxa"/>
        </w:trPr>
        <w:tc>
          <w:tcPr>
            <w:tcW w:w="14831" w:type="dxa"/>
            <w:vAlign w:val="center"/>
          </w:tcPr>
          <w:p w:rsidR="00D30892" w:rsidRPr="008C6E5F" w:rsidRDefault="002C763D" w:rsidP="00B46C3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E5F">
              <w:rPr>
                <w:rFonts w:ascii="Arial" w:hAnsi="Arial" w:cs="Arial"/>
                <w:color w:val="000000"/>
                <w:sz w:val="22"/>
                <w:szCs w:val="22"/>
              </w:rPr>
              <w:t>Dostarczenie dokładnie opracowanych zaleceń producenta oraz instrukcji obsługi dostarczonego sprzętu w pos</w:t>
            </w:r>
            <w:r w:rsidR="00175732" w:rsidRPr="008C6E5F">
              <w:rPr>
                <w:rFonts w:ascii="Arial" w:hAnsi="Arial" w:cs="Arial"/>
                <w:color w:val="000000"/>
                <w:sz w:val="22"/>
                <w:szCs w:val="22"/>
              </w:rPr>
              <w:t>taci dokumentu w języku polskim (na życzenie Zamawiającego).</w:t>
            </w:r>
          </w:p>
          <w:p w:rsidR="001E110E" w:rsidRPr="008C6E5F" w:rsidRDefault="001E110E" w:rsidP="00B46C3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6E5F">
              <w:rPr>
                <w:rFonts w:ascii="Arial" w:hAnsi="Arial" w:cs="Arial"/>
                <w:color w:val="000000"/>
                <w:sz w:val="22"/>
                <w:szCs w:val="22"/>
              </w:rPr>
              <w:t xml:space="preserve">Wszystkie badania serologiczne wymienione w tabelach wykonywane będą zgodnie z obowiązującymi przepisami zawartymi w Rozporządzeniu Ministra Zdrowia z dn. </w:t>
            </w:r>
            <w:r w:rsidR="005D2C8E" w:rsidRPr="008C6E5F">
              <w:rPr>
                <w:rFonts w:ascii="Arial" w:hAnsi="Arial" w:cs="Arial"/>
                <w:color w:val="000000"/>
                <w:sz w:val="22"/>
                <w:szCs w:val="22"/>
              </w:rPr>
              <w:t>19 marca 2021r</w:t>
            </w:r>
            <w:r w:rsidRPr="008C6E5F">
              <w:rPr>
                <w:rFonts w:ascii="Arial" w:hAnsi="Arial" w:cs="Arial"/>
                <w:color w:val="000000"/>
                <w:sz w:val="22"/>
                <w:szCs w:val="22"/>
              </w:rPr>
              <w:t xml:space="preserve"> „w sprawie leczenia krwią i jej składnikami w podmiotach leczniczych wykonujących działalność leczniczą w rodzaju stacjonarne i całodobowe świadczenia zdrowotne.”</w:t>
            </w:r>
            <w:r w:rsidR="005D2C8E" w:rsidRPr="008C6E5F">
              <w:rPr>
                <w:rFonts w:ascii="Arial" w:hAnsi="Arial" w:cs="Arial"/>
                <w:color w:val="000000"/>
                <w:sz w:val="22"/>
                <w:szCs w:val="22"/>
              </w:rPr>
              <w:t xml:space="preserve">; ustawa o publicznej służbie krwi z dnia 13 października 2020r; </w:t>
            </w:r>
            <w:r w:rsidR="00B46C36" w:rsidRPr="008C6E5F">
              <w:rPr>
                <w:rFonts w:ascii="Arial" w:hAnsi="Arial" w:cs="Arial"/>
                <w:color w:val="000000"/>
                <w:sz w:val="22"/>
                <w:szCs w:val="22"/>
              </w:rPr>
              <w:t>Obwieszczenie Ministra Zdrowia z dnia 18.03.2020r w sprawie wymagań dobrej praktyki przechowywania w wydawania krwi i jej składników dla banków krwi oraz badań z zakresu immunologii transfuzjologicznej wykonywanych w zakładach leczniczych podmiotów leczniczych innych niż regionalne centra, Wojskowe Centrum lub Centrum MSWiA; Obwieszczenie Ministra Zdrowia z dnia 30.03.2021r w sprawie wymagań dobrej praktyki pobierania krwi i jej składników, badania, preparatyki, przechowywania, wydawania i tran</w:t>
            </w:r>
            <w:r w:rsidR="000760EE">
              <w:rPr>
                <w:rFonts w:ascii="Arial" w:hAnsi="Arial" w:cs="Arial"/>
                <w:color w:val="000000"/>
                <w:sz w:val="22"/>
                <w:szCs w:val="22"/>
              </w:rPr>
              <w:t>sportu dla jednostek organizacy</w:t>
            </w:r>
            <w:r w:rsidR="00B46C36" w:rsidRPr="008C6E5F">
              <w:rPr>
                <w:rFonts w:ascii="Arial" w:hAnsi="Arial" w:cs="Arial"/>
                <w:color w:val="000000"/>
                <w:sz w:val="22"/>
                <w:szCs w:val="22"/>
              </w:rPr>
              <w:t>jnych publicznej służby krwi.</w:t>
            </w:r>
          </w:p>
          <w:p w:rsidR="00B46C36" w:rsidRPr="008C6E5F" w:rsidRDefault="00B46C36" w:rsidP="00B46C3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 xml:space="preserve">Załączenie do oferty pozytywnej opinii z </w:t>
            </w:r>
            <w:proofErr w:type="spellStart"/>
            <w:r w:rsidRPr="008C6E5F">
              <w:rPr>
                <w:rFonts w:ascii="Arial" w:hAnsi="Arial" w:cs="Arial"/>
                <w:sz w:val="22"/>
                <w:szCs w:val="22"/>
              </w:rPr>
              <w:t>IHiT</w:t>
            </w:r>
            <w:proofErr w:type="spellEnd"/>
            <w:r w:rsidRPr="008C6E5F">
              <w:rPr>
                <w:rFonts w:ascii="Arial" w:hAnsi="Arial" w:cs="Arial"/>
                <w:sz w:val="22"/>
                <w:szCs w:val="22"/>
              </w:rPr>
              <w:t xml:space="preserve"> w Warszawie dla oferowanej metodyki.</w:t>
            </w:r>
          </w:p>
          <w:p w:rsidR="002C763D" w:rsidRPr="008C6E5F" w:rsidRDefault="002C763D" w:rsidP="005D2C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107D" w:rsidRPr="008C6E5F" w:rsidRDefault="0090107D" w:rsidP="0090107D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8C6E5F">
        <w:rPr>
          <w:rFonts w:ascii="Arial" w:hAnsi="Arial" w:cs="Arial"/>
          <w:b/>
          <w:sz w:val="22"/>
          <w:szCs w:val="22"/>
        </w:rPr>
        <w:t xml:space="preserve">Parametr oceniany: </w:t>
      </w:r>
    </w:p>
    <w:p w:rsidR="0090107D" w:rsidRPr="008C6E5F" w:rsidRDefault="0090107D" w:rsidP="009010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5120"/>
        <w:gridCol w:w="2674"/>
        <w:gridCol w:w="2693"/>
        <w:gridCol w:w="3685"/>
      </w:tblGrid>
      <w:tr w:rsidR="000760EE" w:rsidRPr="008C6E5F" w:rsidTr="000760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EE" w:rsidRPr="008C6E5F" w:rsidRDefault="000760EE" w:rsidP="0007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00748858"/>
            <w:r w:rsidRPr="008C6E5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EE" w:rsidRPr="008C6E5F" w:rsidRDefault="000760EE" w:rsidP="0007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E5F">
              <w:rPr>
                <w:rFonts w:ascii="Arial" w:hAnsi="Arial" w:cs="Arial"/>
                <w:b/>
                <w:sz w:val="22"/>
                <w:szCs w:val="22"/>
              </w:rPr>
              <w:t>Parametry oceniane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EE" w:rsidRPr="008C6E5F" w:rsidRDefault="000760EE" w:rsidP="0007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E5F">
              <w:rPr>
                <w:rFonts w:ascii="Arial" w:hAnsi="Arial" w:cs="Arial"/>
                <w:b/>
                <w:sz w:val="22"/>
                <w:szCs w:val="22"/>
              </w:rPr>
              <w:t>Kryteria oceny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EE" w:rsidRPr="008C6E5F" w:rsidRDefault="000760EE" w:rsidP="0007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E5F"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EE" w:rsidRPr="008C6E5F" w:rsidRDefault="000760EE" w:rsidP="0007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Parametry zaoferowane przez Wykonawcę</w:t>
            </w:r>
          </w:p>
        </w:tc>
      </w:tr>
      <w:tr w:rsidR="000760EE" w:rsidRPr="008C6E5F" w:rsidTr="000760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EE" w:rsidRPr="008C6E5F" w:rsidRDefault="000760EE" w:rsidP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60EE" w:rsidRPr="008C6E5F" w:rsidRDefault="000760EE" w:rsidP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EE" w:rsidRPr="008C6E5F" w:rsidRDefault="000760EE" w:rsidP="000760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color w:val="000000"/>
                <w:sz w:val="22"/>
                <w:szCs w:val="22"/>
              </w:rPr>
              <w:t xml:space="preserve">Karta do oznaczenia grupy krwi noworodka zawierająca 2 odczynniki anty-D z dwóch różnych klonów (anty D VI- i anty D VI+) oraz </w:t>
            </w:r>
            <w:proofErr w:type="spellStart"/>
            <w:r w:rsidRPr="008C6E5F">
              <w:rPr>
                <w:rFonts w:ascii="Arial" w:hAnsi="Arial" w:cs="Arial"/>
                <w:color w:val="000000"/>
                <w:sz w:val="22"/>
                <w:szCs w:val="22"/>
              </w:rPr>
              <w:t>mikrokolumny</w:t>
            </w:r>
            <w:proofErr w:type="spellEnd"/>
            <w:r w:rsidRPr="008C6E5F">
              <w:rPr>
                <w:rFonts w:ascii="Arial" w:hAnsi="Arial" w:cs="Arial"/>
                <w:color w:val="000000"/>
                <w:sz w:val="22"/>
                <w:szCs w:val="22"/>
              </w:rPr>
              <w:t xml:space="preserve"> żelowe do BTA wypełnione zarówno surowicą poliwalentną jak i </w:t>
            </w:r>
            <w:proofErr w:type="spellStart"/>
            <w:r w:rsidRPr="008C6E5F">
              <w:rPr>
                <w:rFonts w:ascii="Arial" w:hAnsi="Arial" w:cs="Arial"/>
                <w:color w:val="000000"/>
                <w:sz w:val="22"/>
                <w:szCs w:val="22"/>
              </w:rPr>
              <w:t>monowalentną</w:t>
            </w:r>
            <w:proofErr w:type="spellEnd"/>
            <w:r w:rsidRPr="008C6E5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6E5F">
              <w:rPr>
                <w:rFonts w:ascii="Arial" w:hAnsi="Arial" w:cs="Arial"/>
                <w:color w:val="000000"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EE" w:rsidRPr="008C6E5F" w:rsidRDefault="000760EE" w:rsidP="000760EE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NIE</w:t>
            </w:r>
          </w:p>
          <w:p w:rsidR="000760EE" w:rsidRPr="008C6E5F" w:rsidRDefault="000760EE" w:rsidP="000760EE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C6E5F">
              <w:rPr>
                <w:rFonts w:ascii="Arial" w:hAnsi="Arial" w:cs="Arial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EE" w:rsidRPr="008C6E5F" w:rsidRDefault="000760EE" w:rsidP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0 pkt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760EE" w:rsidRPr="008C6E5F" w:rsidRDefault="000760EE" w:rsidP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10 pkt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EE" w:rsidRPr="008C6E5F" w:rsidRDefault="000760EE" w:rsidP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0EE" w:rsidRPr="008C6E5F" w:rsidTr="000760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EE" w:rsidRPr="008C6E5F" w:rsidRDefault="000760EE" w:rsidP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EE" w:rsidRPr="008C6E5F" w:rsidRDefault="000760EE" w:rsidP="000760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 xml:space="preserve">Oferowany inkubator posiadający dwie niezależne komory grzewcze i dwa niezależne czasy </w:t>
            </w:r>
            <w:proofErr w:type="spellStart"/>
            <w:r w:rsidRPr="008C6E5F">
              <w:rPr>
                <w:rFonts w:ascii="Arial" w:hAnsi="Arial" w:cs="Arial"/>
                <w:sz w:val="22"/>
                <w:szCs w:val="22"/>
              </w:rPr>
              <w:t>przeinkubowania</w:t>
            </w:r>
            <w:proofErr w:type="spellEnd"/>
            <w:r w:rsidRPr="008C6E5F">
              <w:rPr>
                <w:rFonts w:ascii="Arial" w:hAnsi="Arial" w:cs="Arial"/>
                <w:sz w:val="22"/>
                <w:szCs w:val="22"/>
              </w:rPr>
              <w:t xml:space="preserve"> (czas </w:t>
            </w:r>
            <w:proofErr w:type="spellStart"/>
            <w:r w:rsidRPr="008C6E5F">
              <w:rPr>
                <w:rFonts w:ascii="Arial" w:hAnsi="Arial" w:cs="Arial"/>
                <w:sz w:val="22"/>
                <w:szCs w:val="22"/>
              </w:rPr>
              <w:t>przeinkubowania</w:t>
            </w:r>
            <w:proofErr w:type="spellEnd"/>
            <w:r w:rsidRPr="008C6E5F">
              <w:rPr>
                <w:rFonts w:ascii="Arial" w:hAnsi="Arial" w:cs="Arial"/>
                <w:sz w:val="22"/>
                <w:szCs w:val="22"/>
              </w:rPr>
              <w:t xml:space="preserve"> oznacza czas mierzony od zakończonej inkubacji)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EE" w:rsidRPr="008C6E5F" w:rsidRDefault="000760EE" w:rsidP="000760EE">
            <w:pPr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NIE</w:t>
            </w:r>
          </w:p>
          <w:p w:rsidR="000760EE" w:rsidRPr="008C6E5F" w:rsidRDefault="000760EE" w:rsidP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EE" w:rsidRPr="008C6E5F" w:rsidRDefault="000760EE" w:rsidP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60EE" w:rsidRPr="008C6E5F" w:rsidRDefault="000760EE" w:rsidP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0 pkt</w:t>
            </w:r>
          </w:p>
          <w:p w:rsidR="000760EE" w:rsidRPr="008C6E5F" w:rsidRDefault="000760EE" w:rsidP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10 pkt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EE" w:rsidRPr="008C6E5F" w:rsidRDefault="000760EE" w:rsidP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0EE" w:rsidRPr="008C6E5F" w:rsidTr="000760EE">
        <w:trPr>
          <w:trHeight w:val="7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EE" w:rsidRPr="008C6E5F" w:rsidRDefault="000760EE" w:rsidP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EE" w:rsidRPr="008C6E5F" w:rsidRDefault="000760EE" w:rsidP="000760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Zes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C6E5F">
              <w:rPr>
                <w:rFonts w:ascii="Arial" w:hAnsi="Arial" w:cs="Arial"/>
                <w:sz w:val="22"/>
                <w:szCs w:val="22"/>
              </w:rPr>
              <w:t xml:space="preserve">aw 3 krwinek wzorcowych zawierających antygen </w:t>
            </w:r>
            <w:proofErr w:type="spellStart"/>
            <w:r w:rsidRPr="008C6E5F">
              <w:rPr>
                <w:rFonts w:ascii="Arial" w:hAnsi="Arial" w:cs="Arial"/>
                <w:sz w:val="22"/>
                <w:szCs w:val="22"/>
              </w:rPr>
              <w:t>Cw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EE" w:rsidRPr="008C6E5F" w:rsidRDefault="000760EE" w:rsidP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60EE" w:rsidRPr="008C6E5F" w:rsidRDefault="000760EE" w:rsidP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NIE</w:t>
            </w:r>
          </w:p>
          <w:p w:rsidR="000760EE" w:rsidRPr="008C6E5F" w:rsidRDefault="000760EE" w:rsidP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EE" w:rsidRPr="008C6E5F" w:rsidRDefault="000760EE" w:rsidP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60EE" w:rsidRPr="008C6E5F" w:rsidRDefault="000760EE" w:rsidP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 xml:space="preserve"> 0 pkt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760EE" w:rsidRPr="008C6E5F" w:rsidRDefault="000760EE" w:rsidP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E5F">
              <w:rPr>
                <w:rFonts w:ascii="Arial" w:hAnsi="Arial" w:cs="Arial"/>
                <w:sz w:val="22"/>
                <w:szCs w:val="22"/>
              </w:rPr>
              <w:t>20 pkt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EE" w:rsidRPr="008C6E5F" w:rsidRDefault="000760EE" w:rsidP="00076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:rsidR="000760EE" w:rsidRDefault="000760EE" w:rsidP="000760EE">
      <w:pPr>
        <w:ind w:left="10065" w:hanging="861"/>
        <w:rPr>
          <w:rFonts w:ascii="Arial Narrow" w:hAnsi="Arial Narrow"/>
        </w:rPr>
      </w:pPr>
    </w:p>
    <w:p w:rsidR="000760EE" w:rsidRDefault="000760EE" w:rsidP="000760EE">
      <w:pPr>
        <w:ind w:left="10065" w:hanging="861"/>
        <w:rPr>
          <w:rFonts w:ascii="Arial Narrow" w:hAnsi="Arial Narrow"/>
        </w:rPr>
      </w:pPr>
    </w:p>
    <w:p w:rsidR="000760EE" w:rsidRDefault="000760EE" w:rsidP="000760EE">
      <w:pPr>
        <w:ind w:left="10065" w:hanging="861"/>
        <w:rPr>
          <w:rFonts w:ascii="Arial Narrow" w:hAnsi="Arial Narrow"/>
        </w:rPr>
      </w:pPr>
    </w:p>
    <w:p w:rsidR="000760EE" w:rsidRDefault="000760EE" w:rsidP="000760EE">
      <w:pPr>
        <w:ind w:left="10065" w:hanging="861"/>
        <w:rPr>
          <w:rFonts w:ascii="Arial Narrow" w:hAnsi="Arial Narrow"/>
        </w:rPr>
      </w:pPr>
    </w:p>
    <w:p w:rsidR="000760EE" w:rsidRPr="000760EE" w:rsidRDefault="000760EE" w:rsidP="000760EE">
      <w:pPr>
        <w:ind w:left="10065" w:hanging="861"/>
        <w:rPr>
          <w:rFonts w:ascii="Arial" w:hAnsi="Arial" w:cs="Arial"/>
          <w:sz w:val="22"/>
          <w:szCs w:val="22"/>
        </w:rPr>
      </w:pPr>
      <w:r w:rsidRPr="000760EE">
        <w:rPr>
          <w:rFonts w:ascii="Arial" w:hAnsi="Arial" w:cs="Arial"/>
          <w:sz w:val="22"/>
          <w:szCs w:val="22"/>
        </w:rPr>
        <w:t xml:space="preserve">                …………………………………………</w:t>
      </w:r>
    </w:p>
    <w:p w:rsidR="000760EE" w:rsidRPr="000760EE" w:rsidRDefault="000760EE" w:rsidP="000760EE">
      <w:pPr>
        <w:ind w:left="10620"/>
        <w:rPr>
          <w:rFonts w:ascii="Arial" w:hAnsi="Arial" w:cs="Arial"/>
          <w:sz w:val="22"/>
          <w:szCs w:val="22"/>
        </w:rPr>
      </w:pPr>
      <w:r w:rsidRPr="000760EE">
        <w:rPr>
          <w:rFonts w:ascii="Arial" w:hAnsi="Arial" w:cs="Arial"/>
          <w:sz w:val="22"/>
          <w:szCs w:val="22"/>
        </w:rPr>
        <w:t>data i podpis Wykonawcy</w:t>
      </w:r>
    </w:p>
    <w:p w:rsidR="000760EE" w:rsidRPr="000760EE" w:rsidRDefault="000760EE" w:rsidP="000760EE">
      <w:pPr>
        <w:jc w:val="center"/>
        <w:rPr>
          <w:rFonts w:ascii="Arial" w:hAnsi="Arial" w:cs="Arial"/>
          <w:b/>
          <w:sz w:val="22"/>
          <w:szCs w:val="22"/>
        </w:rPr>
      </w:pPr>
    </w:p>
    <w:p w:rsidR="002C763D" w:rsidRPr="008C6E5F" w:rsidRDefault="002C763D" w:rsidP="002C763D">
      <w:pPr>
        <w:rPr>
          <w:rFonts w:ascii="Arial" w:hAnsi="Arial" w:cs="Arial"/>
          <w:sz w:val="22"/>
          <w:szCs w:val="22"/>
        </w:rPr>
      </w:pPr>
    </w:p>
    <w:sectPr w:rsidR="002C763D" w:rsidRPr="008C6E5F" w:rsidSect="00A916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145E"/>
    <w:multiLevelType w:val="hybridMultilevel"/>
    <w:tmpl w:val="794483C2"/>
    <w:lvl w:ilvl="0" w:tplc="3A2656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A64A8"/>
    <w:multiLevelType w:val="hybridMultilevel"/>
    <w:tmpl w:val="0B367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80889"/>
    <w:multiLevelType w:val="hybridMultilevel"/>
    <w:tmpl w:val="D70A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90A1F"/>
    <w:multiLevelType w:val="hybridMultilevel"/>
    <w:tmpl w:val="D146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A27D9"/>
    <w:multiLevelType w:val="hybridMultilevel"/>
    <w:tmpl w:val="2C309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95072"/>
    <w:multiLevelType w:val="hybridMultilevel"/>
    <w:tmpl w:val="6EC017B4"/>
    <w:lvl w:ilvl="0" w:tplc="2AD492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savePreviewPicture/>
  <w:compat/>
  <w:rsids>
    <w:rsidRoot w:val="00E54F19"/>
    <w:rsid w:val="00002C36"/>
    <w:rsid w:val="00020387"/>
    <w:rsid w:val="000760EE"/>
    <w:rsid w:val="00135B82"/>
    <w:rsid w:val="001534AE"/>
    <w:rsid w:val="00164305"/>
    <w:rsid w:val="00175732"/>
    <w:rsid w:val="001A7EF9"/>
    <w:rsid w:val="001D347A"/>
    <w:rsid w:val="001E110E"/>
    <w:rsid w:val="001E5AC0"/>
    <w:rsid w:val="00217063"/>
    <w:rsid w:val="002C68F5"/>
    <w:rsid w:val="002C763D"/>
    <w:rsid w:val="002E507C"/>
    <w:rsid w:val="002F3C54"/>
    <w:rsid w:val="00307B30"/>
    <w:rsid w:val="00317A06"/>
    <w:rsid w:val="00330DF0"/>
    <w:rsid w:val="00350FF3"/>
    <w:rsid w:val="003655EA"/>
    <w:rsid w:val="00396CD9"/>
    <w:rsid w:val="003C3558"/>
    <w:rsid w:val="003F76F1"/>
    <w:rsid w:val="00403C7D"/>
    <w:rsid w:val="00425DFA"/>
    <w:rsid w:val="00477800"/>
    <w:rsid w:val="005D2C8E"/>
    <w:rsid w:val="00602956"/>
    <w:rsid w:val="006112E0"/>
    <w:rsid w:val="00651822"/>
    <w:rsid w:val="006879A4"/>
    <w:rsid w:val="006C791A"/>
    <w:rsid w:val="006E3B74"/>
    <w:rsid w:val="00744ACC"/>
    <w:rsid w:val="00767834"/>
    <w:rsid w:val="007D6B08"/>
    <w:rsid w:val="008015C8"/>
    <w:rsid w:val="00811013"/>
    <w:rsid w:val="00827AE4"/>
    <w:rsid w:val="008C6E5F"/>
    <w:rsid w:val="008F2BBD"/>
    <w:rsid w:val="0090107D"/>
    <w:rsid w:val="00911F8D"/>
    <w:rsid w:val="00915FCC"/>
    <w:rsid w:val="00961ACB"/>
    <w:rsid w:val="009A292E"/>
    <w:rsid w:val="00A56CB6"/>
    <w:rsid w:val="00A7768C"/>
    <w:rsid w:val="00A824F4"/>
    <w:rsid w:val="00A916B2"/>
    <w:rsid w:val="00AF7489"/>
    <w:rsid w:val="00B22E5A"/>
    <w:rsid w:val="00B43009"/>
    <w:rsid w:val="00B46C36"/>
    <w:rsid w:val="00C31FBE"/>
    <w:rsid w:val="00C40E46"/>
    <w:rsid w:val="00C91E5B"/>
    <w:rsid w:val="00CD1351"/>
    <w:rsid w:val="00CD19E7"/>
    <w:rsid w:val="00CE7AA7"/>
    <w:rsid w:val="00D2177D"/>
    <w:rsid w:val="00D27980"/>
    <w:rsid w:val="00D30892"/>
    <w:rsid w:val="00D540DF"/>
    <w:rsid w:val="00DA6FCC"/>
    <w:rsid w:val="00DD30C6"/>
    <w:rsid w:val="00DE6B6F"/>
    <w:rsid w:val="00DF0129"/>
    <w:rsid w:val="00E450F0"/>
    <w:rsid w:val="00E471F4"/>
    <w:rsid w:val="00E54F19"/>
    <w:rsid w:val="00E83222"/>
    <w:rsid w:val="00E92A44"/>
    <w:rsid w:val="00EB7BEB"/>
    <w:rsid w:val="00ED02D5"/>
    <w:rsid w:val="00ED06E0"/>
    <w:rsid w:val="00F94E3D"/>
    <w:rsid w:val="00FB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F1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3C54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F3C54"/>
    <w:rPr>
      <w:rFonts w:ascii="Segoe UI" w:eastAsia="Times New Roman" w:hAnsi="Segoe UI" w:cs="Segoe UI"/>
      <w:sz w:val="18"/>
      <w:szCs w:val="18"/>
    </w:rPr>
  </w:style>
  <w:style w:type="paragraph" w:customStyle="1" w:styleId="western">
    <w:name w:val="western"/>
    <w:basedOn w:val="Normalny"/>
    <w:rsid w:val="00D30892"/>
    <w:pPr>
      <w:spacing w:before="100" w:beforeAutospacing="1" w:after="142" w:line="288" w:lineRule="auto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5D2C8E"/>
    <w:pPr>
      <w:spacing w:before="100" w:beforeAutospacing="1" w:after="142" w:line="288" w:lineRule="auto"/>
    </w:pPr>
    <w:rPr>
      <w:color w:val="00000A"/>
    </w:rPr>
  </w:style>
  <w:style w:type="paragraph" w:customStyle="1" w:styleId="Default">
    <w:name w:val="Default"/>
    <w:rsid w:val="006112E0"/>
    <w:pPr>
      <w:autoSpaceDE w:val="0"/>
      <w:autoSpaceDN w:val="0"/>
      <w:adjustRightInd w:val="0"/>
    </w:pPr>
    <w:rPr>
      <w:rFonts w:ascii="Segoe UI" w:eastAsia="Times New Roman" w:hAnsi="Segoe UI" w:cs="Segoe U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magda.dziechciarz</cp:lastModifiedBy>
  <cp:revision>2</cp:revision>
  <cp:lastPrinted>2021-06-14T07:43:00Z</cp:lastPrinted>
  <dcterms:created xsi:type="dcterms:W3CDTF">2021-07-13T10:27:00Z</dcterms:created>
  <dcterms:modified xsi:type="dcterms:W3CDTF">2021-07-13T10:27:00Z</dcterms:modified>
</cp:coreProperties>
</file>